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14" w:rsidRPr="00E46114" w:rsidRDefault="00E46114" w:rsidP="00E46114">
      <w:pPr>
        <w:keepNext/>
        <w:keepLines/>
        <w:spacing w:after="0" w:line="360" w:lineRule="auto"/>
        <w:outlineLvl w:val="2"/>
        <w:rPr>
          <w:rFonts w:ascii="Cambria" w:eastAsia="Times New Roman" w:hAnsi="Cambria" w:cs="Times New Roman"/>
          <w:b/>
          <w:smallCaps/>
          <w:spacing w:val="5"/>
          <w:sz w:val="24"/>
          <w:szCs w:val="24"/>
        </w:rPr>
      </w:pPr>
      <w:bookmarkStart w:id="0" w:name="_Toc435553922"/>
      <w:r w:rsidRPr="00E46114">
        <w:rPr>
          <w:rFonts w:ascii="Cambria" w:eastAsia="Times New Roman" w:hAnsi="Cambria" w:cs="Times New Roman"/>
          <w:b/>
          <w:smallCaps/>
          <w:spacing w:val="5"/>
          <w:sz w:val="24"/>
          <w:szCs w:val="24"/>
        </w:rPr>
        <w:t>LEY Nº 25.688</w:t>
      </w:r>
      <w:bookmarkEnd w:id="0"/>
    </w:p>
    <w:p w:rsidR="00E46114" w:rsidRPr="00E46114" w:rsidRDefault="00E46114" w:rsidP="00E46114">
      <w:pPr>
        <w:keepNext/>
        <w:keepLines/>
        <w:spacing w:after="0" w:line="360" w:lineRule="auto"/>
        <w:outlineLvl w:val="2"/>
        <w:rPr>
          <w:rFonts w:ascii="Cambria" w:eastAsia="Times New Roman" w:hAnsi="Cambria" w:cs="Times New Roman"/>
          <w:b/>
          <w:smallCaps/>
          <w:spacing w:val="5"/>
          <w:sz w:val="24"/>
          <w:szCs w:val="24"/>
        </w:rPr>
      </w:pPr>
      <w:bookmarkStart w:id="1" w:name="_Toc435035739"/>
      <w:bookmarkStart w:id="2" w:name="_Toc435440116"/>
      <w:bookmarkStart w:id="3" w:name="_Toc435440259"/>
      <w:bookmarkStart w:id="4" w:name="_Toc435441167"/>
      <w:bookmarkStart w:id="5" w:name="_Toc435553923"/>
      <w:r w:rsidRPr="00E46114">
        <w:rPr>
          <w:rFonts w:ascii="Cambria" w:eastAsia="Times New Roman" w:hAnsi="Cambria" w:cs="Times New Roman"/>
          <w:b/>
          <w:smallCaps/>
          <w:spacing w:val="5"/>
          <w:sz w:val="24"/>
          <w:szCs w:val="24"/>
        </w:rPr>
        <w:t>Régimen de Gestión Ambiental de Aguas</w:t>
      </w:r>
      <w:bookmarkEnd w:id="1"/>
      <w:bookmarkEnd w:id="2"/>
      <w:bookmarkEnd w:id="3"/>
      <w:bookmarkEnd w:id="4"/>
      <w:bookmarkEnd w:id="5"/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bCs/>
          <w:color w:val="000000"/>
          <w:sz w:val="24"/>
          <w:szCs w:val="24"/>
        </w:rPr>
      </w:pPr>
      <w:proofErr w:type="spellStart"/>
      <w:r w:rsidRPr="00E46114">
        <w:rPr>
          <w:rFonts w:ascii="Cambria" w:eastAsia="Calibri" w:hAnsi="Cambria" w:cs="Arial"/>
          <w:bCs/>
          <w:color w:val="000000"/>
          <w:sz w:val="24"/>
          <w:szCs w:val="24"/>
        </w:rPr>
        <w:t>Establécense</w:t>
      </w:r>
      <w:proofErr w:type="spellEnd"/>
      <w:r w:rsidRPr="00E46114">
        <w:rPr>
          <w:rFonts w:ascii="Cambria" w:eastAsia="Calibri" w:hAnsi="Cambria" w:cs="Arial"/>
          <w:bCs/>
          <w:color w:val="000000"/>
          <w:sz w:val="24"/>
          <w:szCs w:val="24"/>
        </w:rPr>
        <w:t xml:space="preserve"> los presupuestos mínimos ambientales para la preservación de las aguas, su aprovechamiento y uso racional. Utilización de las aguas. Cuenca hídrica superficial. Comités de cuencas hídricas.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bCs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bCs/>
          <w:color w:val="000000"/>
          <w:sz w:val="24"/>
          <w:szCs w:val="24"/>
        </w:rPr>
        <w:t>Sancionada: Noviembre 28 de 2002.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bCs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bCs/>
          <w:color w:val="000000"/>
          <w:sz w:val="24"/>
          <w:szCs w:val="24"/>
        </w:rPr>
        <w:t>Promulgada: Diciembre 30 de 2002.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color w:val="000000"/>
          <w:sz w:val="24"/>
          <w:szCs w:val="24"/>
        </w:rPr>
        <w:t>El Senado y Cámara de Diputados de la Nación Argentina reunidos en Congreso, etc., sancionan con fuerza de Ley: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color w:val="000000"/>
          <w:sz w:val="24"/>
          <w:szCs w:val="24"/>
        </w:rPr>
        <w:t>REGIMEN DE GESTION AMBIENTAL DE AGUAS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bCs/>
          <w:color w:val="000000"/>
          <w:sz w:val="24"/>
          <w:szCs w:val="24"/>
        </w:rPr>
        <w:t>ARTICULO 1°</w:t>
      </w:r>
      <w:r w:rsidRPr="00E46114">
        <w:rPr>
          <w:rFonts w:ascii="Cambria" w:eastAsia="Calibri" w:hAnsi="Cambria" w:cs="Arial"/>
          <w:b/>
          <w:bCs/>
          <w:color w:val="000000"/>
          <w:sz w:val="24"/>
          <w:szCs w:val="24"/>
        </w:rPr>
        <w:t> </w:t>
      </w:r>
      <w:r w:rsidRPr="00E46114">
        <w:rPr>
          <w:rFonts w:ascii="Cambria" w:eastAsia="Calibri" w:hAnsi="Cambria" w:cs="Arial"/>
          <w:color w:val="000000"/>
          <w:sz w:val="24"/>
          <w:szCs w:val="24"/>
        </w:rPr>
        <w:t>— Esta ley establece los presupuestos mínimos ambientales, para la preservación de las aguas, su aprovechamiento y uso racional.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bCs/>
          <w:color w:val="000000"/>
          <w:sz w:val="24"/>
          <w:szCs w:val="24"/>
        </w:rPr>
        <w:t>ARTICULO 2°</w:t>
      </w:r>
      <w:r w:rsidRPr="00E46114">
        <w:rPr>
          <w:rFonts w:ascii="Cambria" w:eastAsia="Calibri" w:hAnsi="Cambria" w:cs="Arial"/>
          <w:b/>
          <w:bCs/>
          <w:color w:val="000000"/>
          <w:sz w:val="24"/>
          <w:szCs w:val="24"/>
        </w:rPr>
        <w:t> </w:t>
      </w:r>
      <w:r w:rsidRPr="00E46114">
        <w:rPr>
          <w:rFonts w:ascii="Cambria" w:eastAsia="Calibri" w:hAnsi="Cambria" w:cs="Arial"/>
          <w:color w:val="000000"/>
          <w:sz w:val="24"/>
          <w:szCs w:val="24"/>
        </w:rPr>
        <w:t>— A los efectos de la presente ley se entenderá: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color w:val="000000"/>
          <w:sz w:val="24"/>
          <w:szCs w:val="24"/>
        </w:rPr>
        <w:t>Por agua, aquélla que forma parte del conjunto de los cursos y cuerpos de aguas naturales o artificiales, superficiales y subterráneas, así como a las contenidas en los acuíferos, ríos subterráneos y las atmosféricas.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color w:val="000000"/>
          <w:sz w:val="24"/>
          <w:szCs w:val="24"/>
        </w:rPr>
        <w:t>Por cuenca hídrica superficial, a la región geográfica delimitada por las divisorias de aguas que discurren hacia el mar a través de una red de cauces secundarios que convergen en un cauce principal único y las endorreicas.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bCs/>
          <w:color w:val="000000"/>
          <w:sz w:val="24"/>
          <w:szCs w:val="24"/>
        </w:rPr>
        <w:t>ARTICULO 3°</w:t>
      </w:r>
      <w:r w:rsidRPr="00E46114">
        <w:rPr>
          <w:rFonts w:ascii="Cambria" w:eastAsia="Calibri" w:hAnsi="Cambria" w:cs="Arial"/>
          <w:b/>
          <w:bCs/>
          <w:color w:val="000000"/>
          <w:sz w:val="24"/>
          <w:szCs w:val="24"/>
        </w:rPr>
        <w:t> </w:t>
      </w:r>
      <w:r w:rsidRPr="00E46114">
        <w:rPr>
          <w:rFonts w:ascii="Cambria" w:eastAsia="Calibri" w:hAnsi="Cambria" w:cs="Arial"/>
          <w:color w:val="000000"/>
          <w:sz w:val="24"/>
          <w:szCs w:val="24"/>
        </w:rPr>
        <w:t>— Las cuencas hídricas como unidad ambiental de gestión del recurso se consideran indivisibles.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bCs/>
          <w:color w:val="000000"/>
          <w:sz w:val="24"/>
          <w:szCs w:val="24"/>
        </w:rPr>
        <w:t>ARTICULO 4°</w:t>
      </w:r>
      <w:r w:rsidRPr="00E46114">
        <w:rPr>
          <w:rFonts w:ascii="Cambria" w:eastAsia="Calibri" w:hAnsi="Cambria" w:cs="Arial"/>
          <w:b/>
          <w:bCs/>
          <w:color w:val="000000"/>
          <w:sz w:val="24"/>
          <w:szCs w:val="24"/>
        </w:rPr>
        <w:t> </w:t>
      </w:r>
      <w:r w:rsidRPr="00E46114">
        <w:rPr>
          <w:rFonts w:ascii="Cambria" w:eastAsia="Calibri" w:hAnsi="Cambria" w:cs="Arial"/>
          <w:color w:val="000000"/>
          <w:sz w:val="24"/>
          <w:szCs w:val="24"/>
        </w:rPr>
        <w:t xml:space="preserve">— Créanse, para las cuencas </w:t>
      </w:r>
      <w:proofErr w:type="spellStart"/>
      <w:r w:rsidRPr="00E46114">
        <w:rPr>
          <w:rFonts w:ascii="Cambria" w:eastAsia="Calibri" w:hAnsi="Cambria" w:cs="Arial"/>
          <w:color w:val="000000"/>
          <w:sz w:val="24"/>
          <w:szCs w:val="24"/>
        </w:rPr>
        <w:t>interjurisdiccionales</w:t>
      </w:r>
      <w:proofErr w:type="spellEnd"/>
      <w:r w:rsidRPr="00E46114">
        <w:rPr>
          <w:rFonts w:ascii="Cambria" w:eastAsia="Calibri" w:hAnsi="Cambria" w:cs="Arial"/>
          <w:color w:val="000000"/>
          <w:sz w:val="24"/>
          <w:szCs w:val="24"/>
        </w:rPr>
        <w:t>, los comités de cuencas hídricas con la misión de asesorar a la autoridad competente en materia de recursos hídricos y colaborar en la gestión ambientalmente sustentable de las cuencas hídricas. La competencia geográfica de cada comité de cuenca hídrica podrá emplear categorías menores o mayores de la cuenca, agrupando o subdividiendo las mismas en unidades ambientalmente coherentes a efectos de una mejor distribución geográfica de los organismos y de sus responsabilidades respectivas.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bCs/>
          <w:color w:val="000000"/>
          <w:sz w:val="24"/>
          <w:szCs w:val="24"/>
        </w:rPr>
        <w:t>ARTICULO 5°</w:t>
      </w:r>
      <w:r w:rsidRPr="00E46114">
        <w:rPr>
          <w:rFonts w:ascii="Cambria" w:eastAsia="Calibri" w:hAnsi="Cambria" w:cs="Arial"/>
          <w:b/>
          <w:bCs/>
          <w:color w:val="000000"/>
          <w:sz w:val="24"/>
          <w:szCs w:val="24"/>
        </w:rPr>
        <w:t> </w:t>
      </w:r>
      <w:r w:rsidRPr="00E46114">
        <w:rPr>
          <w:rFonts w:ascii="Cambria" w:eastAsia="Calibri" w:hAnsi="Cambria" w:cs="Arial"/>
          <w:color w:val="000000"/>
          <w:sz w:val="24"/>
          <w:szCs w:val="24"/>
        </w:rPr>
        <w:t>— Se entiende por utilización de las aguas a los efectos de esta ley: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color w:val="000000"/>
          <w:sz w:val="24"/>
          <w:szCs w:val="24"/>
        </w:rPr>
        <w:t>a) La toma y desviación de aguas superficiales;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color w:val="000000"/>
          <w:sz w:val="24"/>
          <w:szCs w:val="24"/>
        </w:rPr>
        <w:lastRenderedPageBreak/>
        <w:t>b) El estancamiento, modificación en el flujo o la profundización de las aguas superficiales;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color w:val="000000"/>
          <w:sz w:val="24"/>
          <w:szCs w:val="24"/>
        </w:rPr>
        <w:t>c) La toma de sustancias sólidas o en disolución de aguas superficiales, siempre que tal acción afecte el estado o calidad de las aguas o su escurrimiento;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color w:val="000000"/>
          <w:sz w:val="24"/>
          <w:szCs w:val="24"/>
        </w:rPr>
        <w:t>d) La colocación, introducción o vertido de sustancias en aguas superficiales, siempre que tal acción afecte el estado o calidad de las aguas o su escurrimiento;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color w:val="000000"/>
          <w:sz w:val="24"/>
          <w:szCs w:val="24"/>
        </w:rPr>
        <w:t>e) La colocación e introducción de sustancias en aguas costeras, siempre que tales sustancias sean colocadas o introducidas desde tierra firme, o hayan sido transportadas a aguas costeras para ser depositadas en ellas, o instalaciones que en las aguas costeras hayan sido erigidas o amarradas en forma permanente;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color w:val="000000"/>
          <w:sz w:val="24"/>
          <w:szCs w:val="24"/>
        </w:rPr>
        <w:t>f) La colocación e introducción de sustancias en aguas subterráneas;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color w:val="000000"/>
          <w:sz w:val="24"/>
          <w:szCs w:val="24"/>
        </w:rPr>
        <w:t>g) La toma de aguas subterráneas, su elevación y conducción sobre tierra, así como su desviación;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color w:val="000000"/>
          <w:sz w:val="24"/>
          <w:szCs w:val="24"/>
        </w:rPr>
        <w:t>h) El estancamiento, la profundización y la desviación de aguas subterráneas, mediante instalaciones destinadas a tales acciones o que se presten para ellas;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color w:val="000000"/>
          <w:sz w:val="24"/>
          <w:szCs w:val="24"/>
        </w:rPr>
        <w:t>i) Las acciones aptas para provocar permanentemente o en una medida significativa, alteraciones de las propiedades físicas, químicas o biológicas del agua;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color w:val="000000"/>
          <w:sz w:val="24"/>
          <w:szCs w:val="24"/>
        </w:rPr>
        <w:t>j) Modificar artificialmente la fase atmosférica del ciclo hidrológico.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bCs/>
          <w:color w:val="000000"/>
          <w:sz w:val="24"/>
          <w:szCs w:val="24"/>
        </w:rPr>
        <w:t>ARTICULO 6°</w:t>
      </w:r>
      <w:r w:rsidRPr="00E46114">
        <w:rPr>
          <w:rFonts w:ascii="Cambria" w:eastAsia="Calibri" w:hAnsi="Cambria" w:cs="Arial"/>
          <w:b/>
          <w:bCs/>
          <w:color w:val="000000"/>
          <w:sz w:val="24"/>
          <w:szCs w:val="24"/>
        </w:rPr>
        <w:t> </w:t>
      </w:r>
      <w:r w:rsidRPr="00E46114">
        <w:rPr>
          <w:rFonts w:ascii="Cambria" w:eastAsia="Calibri" w:hAnsi="Cambria" w:cs="Arial"/>
          <w:color w:val="000000"/>
          <w:sz w:val="24"/>
          <w:szCs w:val="24"/>
        </w:rPr>
        <w:t xml:space="preserve">— Para utilizar las aguas objeto de esta ley, se deberá contar con el permiso de la autoridad competente. En el caso de las cuencas </w:t>
      </w:r>
      <w:proofErr w:type="spellStart"/>
      <w:r w:rsidRPr="00E46114">
        <w:rPr>
          <w:rFonts w:ascii="Cambria" w:eastAsia="Calibri" w:hAnsi="Cambria" w:cs="Arial"/>
          <w:color w:val="000000"/>
          <w:sz w:val="24"/>
          <w:szCs w:val="24"/>
        </w:rPr>
        <w:t>interjurisdiccionales</w:t>
      </w:r>
      <w:proofErr w:type="spellEnd"/>
      <w:r w:rsidRPr="00E46114">
        <w:rPr>
          <w:rFonts w:ascii="Cambria" w:eastAsia="Calibri" w:hAnsi="Cambria" w:cs="Arial"/>
          <w:color w:val="000000"/>
          <w:sz w:val="24"/>
          <w:szCs w:val="24"/>
        </w:rPr>
        <w:t>, cuando el impacto ambiental sobre alguna de las otras jurisdicciones sea significativo, será vinculante la aprobación de dicha utilización por el Comité de Cuenca correspondiente, el q</w:t>
      </w:r>
      <w:bookmarkStart w:id="6" w:name="_GoBack"/>
      <w:bookmarkEnd w:id="6"/>
      <w:r w:rsidRPr="00E46114">
        <w:rPr>
          <w:rFonts w:ascii="Cambria" w:eastAsia="Calibri" w:hAnsi="Cambria" w:cs="Arial"/>
          <w:color w:val="000000"/>
          <w:sz w:val="24"/>
          <w:szCs w:val="24"/>
        </w:rPr>
        <w:t>ue estará facultado para este acto por las distintas jurisdicciones que lo componen.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bCs/>
          <w:color w:val="000000"/>
          <w:sz w:val="24"/>
          <w:szCs w:val="24"/>
        </w:rPr>
        <w:t>ARTICULO 7°</w:t>
      </w:r>
      <w:r w:rsidRPr="00E46114">
        <w:rPr>
          <w:rFonts w:ascii="Cambria" w:eastAsia="Calibri" w:hAnsi="Cambria" w:cs="Arial"/>
          <w:b/>
          <w:bCs/>
          <w:color w:val="000000"/>
          <w:sz w:val="24"/>
          <w:szCs w:val="24"/>
        </w:rPr>
        <w:t> </w:t>
      </w:r>
      <w:r w:rsidRPr="00E46114">
        <w:rPr>
          <w:rFonts w:ascii="Cambria" w:eastAsia="Calibri" w:hAnsi="Cambria" w:cs="Arial"/>
          <w:color w:val="000000"/>
          <w:sz w:val="24"/>
          <w:szCs w:val="24"/>
        </w:rPr>
        <w:t>— La autoridad nacional de aplicación deberá: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color w:val="000000"/>
          <w:sz w:val="24"/>
          <w:szCs w:val="24"/>
        </w:rPr>
        <w:t>a) Determinar los límites máximos de contaminación aceptables para las aguas de acuerdo a los distintos usos;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color w:val="000000"/>
          <w:sz w:val="24"/>
          <w:szCs w:val="24"/>
        </w:rPr>
        <w:t>b) Definir las directrices para la recarga y protección de los acuíferos;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color w:val="000000"/>
          <w:sz w:val="24"/>
          <w:szCs w:val="24"/>
        </w:rPr>
        <w:t>c) Fijar los parámetros y estándares ambientales de calidad de las aguas;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color w:val="000000"/>
          <w:sz w:val="24"/>
          <w:szCs w:val="24"/>
        </w:rPr>
        <w:lastRenderedPageBreak/>
        <w:t>d) Elaborar y actualizar el Plan Nacional para la preservación, aprovechamiento y uso racional de las aguas, que deberá, como sus actualizaciones ser aprobado por ley del Congreso de la Nación.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color w:val="000000"/>
          <w:sz w:val="24"/>
          <w:szCs w:val="24"/>
        </w:rPr>
        <w:t>Dicho plan contendrá como mínimo las medidas necesarias para la coordinación de las acciones de las diferentes cuencas hídricas.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bCs/>
          <w:color w:val="000000"/>
          <w:sz w:val="24"/>
          <w:szCs w:val="24"/>
        </w:rPr>
        <w:t>ARTICULO 8°</w:t>
      </w:r>
      <w:r w:rsidRPr="00E46114">
        <w:rPr>
          <w:rFonts w:ascii="Cambria" w:eastAsia="Calibri" w:hAnsi="Cambria" w:cs="Arial"/>
          <w:b/>
          <w:bCs/>
          <w:color w:val="000000"/>
          <w:sz w:val="24"/>
          <w:szCs w:val="24"/>
        </w:rPr>
        <w:t> </w:t>
      </w:r>
      <w:r w:rsidRPr="00E46114">
        <w:rPr>
          <w:rFonts w:ascii="Cambria" w:eastAsia="Calibri" w:hAnsi="Cambria" w:cs="Arial"/>
          <w:color w:val="000000"/>
          <w:sz w:val="24"/>
          <w:szCs w:val="24"/>
        </w:rPr>
        <w:t>— La autoridad nacional podrá, a pedido de la autoridad jurisdiccional competente, declarar zona crítica de protección especial a determinadas cuencas, acuíferas, áreas o masas de agua por sus características naturales o de interés ambiental.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bCs/>
          <w:color w:val="000000"/>
          <w:sz w:val="24"/>
          <w:szCs w:val="24"/>
        </w:rPr>
        <w:t>ARTICULO 9°</w:t>
      </w:r>
      <w:r w:rsidRPr="00E46114">
        <w:rPr>
          <w:rFonts w:ascii="Cambria" w:eastAsia="Calibri" w:hAnsi="Cambria" w:cs="Arial"/>
          <w:b/>
          <w:bCs/>
          <w:color w:val="000000"/>
          <w:sz w:val="24"/>
          <w:szCs w:val="24"/>
        </w:rPr>
        <w:t> </w:t>
      </w:r>
      <w:r w:rsidRPr="00E46114">
        <w:rPr>
          <w:rFonts w:ascii="Cambria" w:eastAsia="Calibri" w:hAnsi="Cambria" w:cs="Arial"/>
          <w:color w:val="000000"/>
          <w:sz w:val="24"/>
          <w:szCs w:val="24"/>
        </w:rPr>
        <w:t>— El Poder Ejecutivo reglamentará esta ley dentro de los 180 días de su publicación y dictará las resoluciones necesarias para su aplicación.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bCs/>
          <w:color w:val="000000"/>
          <w:sz w:val="24"/>
          <w:szCs w:val="24"/>
        </w:rPr>
        <w:t>ARTICULO 10</w:t>
      </w:r>
      <w:proofErr w:type="gramStart"/>
      <w:r w:rsidRPr="00E46114">
        <w:rPr>
          <w:rFonts w:ascii="Cambria" w:eastAsia="Calibri" w:hAnsi="Cambria" w:cs="Arial"/>
          <w:bCs/>
          <w:color w:val="000000"/>
          <w:sz w:val="24"/>
          <w:szCs w:val="24"/>
        </w:rPr>
        <w:t>.</w:t>
      </w:r>
      <w:r w:rsidRPr="00E46114">
        <w:rPr>
          <w:rFonts w:ascii="Cambria" w:eastAsia="Calibri" w:hAnsi="Cambria" w:cs="Arial"/>
          <w:color w:val="000000"/>
          <w:sz w:val="24"/>
          <w:szCs w:val="24"/>
        </w:rPr>
        <w:t>—</w:t>
      </w:r>
      <w:proofErr w:type="gramEnd"/>
      <w:r w:rsidRPr="00E46114">
        <w:rPr>
          <w:rFonts w:ascii="Cambria" w:eastAsia="Calibri" w:hAnsi="Cambria" w:cs="Arial"/>
          <w:color w:val="000000"/>
          <w:sz w:val="24"/>
          <w:szCs w:val="24"/>
        </w:rPr>
        <w:t xml:space="preserve"> Comuníquese al Poder Ejecutivo.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color w:val="000000"/>
          <w:sz w:val="24"/>
          <w:szCs w:val="24"/>
        </w:rPr>
        <w:t>DADA EN LA SALA DE SESIONES DEL CONGRESO ARGENTINO, EN BUENOS AIRES, A LOS VEINTIOCHO DIAS DEL MES DE NOVIEMBRE DEL AÑO DOS MIL DOS.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color w:val="000000"/>
          <w:sz w:val="24"/>
          <w:szCs w:val="24"/>
        </w:rPr>
        <w:t>— REGISTRADA BAJO EL N° 25.688 —</w:t>
      </w:r>
    </w:p>
    <w:p w:rsidR="00E46114" w:rsidRPr="00E46114" w:rsidRDefault="00E46114" w:rsidP="00E46114">
      <w:pPr>
        <w:spacing w:after="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E46114">
        <w:rPr>
          <w:rFonts w:ascii="Cambria" w:eastAsia="Calibri" w:hAnsi="Cambria" w:cs="Arial"/>
          <w:color w:val="000000"/>
          <w:sz w:val="24"/>
          <w:szCs w:val="24"/>
        </w:rPr>
        <w:t xml:space="preserve">EDUARDO O. CAMAÑO. — JUAN C. MAQUEDA. — Eduardo D. </w:t>
      </w:r>
      <w:proofErr w:type="spellStart"/>
      <w:r w:rsidRPr="00E46114">
        <w:rPr>
          <w:rFonts w:ascii="Cambria" w:eastAsia="Calibri" w:hAnsi="Cambria" w:cs="Arial"/>
          <w:color w:val="000000"/>
          <w:sz w:val="24"/>
          <w:szCs w:val="24"/>
        </w:rPr>
        <w:t>Rollano</w:t>
      </w:r>
      <w:proofErr w:type="spellEnd"/>
      <w:r w:rsidRPr="00E46114">
        <w:rPr>
          <w:rFonts w:ascii="Cambria" w:eastAsia="Calibri" w:hAnsi="Cambria" w:cs="Arial"/>
          <w:color w:val="000000"/>
          <w:sz w:val="24"/>
          <w:szCs w:val="24"/>
        </w:rPr>
        <w:t xml:space="preserve">. — Juan C. </w:t>
      </w:r>
      <w:proofErr w:type="spellStart"/>
      <w:r w:rsidRPr="00E46114">
        <w:rPr>
          <w:rFonts w:ascii="Cambria" w:eastAsia="Calibri" w:hAnsi="Cambria" w:cs="Arial"/>
          <w:color w:val="000000"/>
          <w:sz w:val="24"/>
          <w:szCs w:val="24"/>
        </w:rPr>
        <w:t>Oyarzún</w:t>
      </w:r>
      <w:proofErr w:type="spellEnd"/>
      <w:r w:rsidRPr="00E46114">
        <w:rPr>
          <w:rFonts w:ascii="Cambria" w:eastAsia="Calibri" w:hAnsi="Cambria" w:cs="Arial"/>
          <w:color w:val="000000"/>
          <w:sz w:val="24"/>
          <w:szCs w:val="24"/>
        </w:rPr>
        <w:t>.</w:t>
      </w:r>
    </w:p>
    <w:p w:rsidR="00F77871" w:rsidRDefault="00F77871" w:rsidP="00E46114">
      <w:pPr>
        <w:spacing w:after="0" w:line="360" w:lineRule="auto"/>
      </w:pPr>
    </w:p>
    <w:sectPr w:rsidR="00F778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14"/>
    <w:rsid w:val="00E46114"/>
    <w:rsid w:val="00F7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5640B-E576-4CAC-A688-5ECA56D4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Perez Cubero</dc:creator>
  <cp:keywords/>
  <dc:description/>
  <cp:lastModifiedBy>Eugenia Perez Cubero</cp:lastModifiedBy>
  <cp:revision>1</cp:revision>
  <dcterms:created xsi:type="dcterms:W3CDTF">2018-04-01T20:42:00Z</dcterms:created>
  <dcterms:modified xsi:type="dcterms:W3CDTF">2018-04-01T20:44:00Z</dcterms:modified>
</cp:coreProperties>
</file>