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0B5" w:rsidRPr="006000B5" w:rsidRDefault="006000B5" w:rsidP="006000B5">
      <w:pPr>
        <w:keepNext/>
        <w:keepLines/>
        <w:spacing w:after="0" w:line="360" w:lineRule="auto"/>
        <w:outlineLvl w:val="2"/>
        <w:rPr>
          <w:rFonts w:ascii="Cambria" w:eastAsia="Times New Roman" w:hAnsi="Cambria" w:cs="Times New Roman"/>
          <w:b/>
          <w:smallCaps/>
          <w:spacing w:val="5"/>
          <w:sz w:val="24"/>
          <w:szCs w:val="24"/>
        </w:rPr>
      </w:pPr>
      <w:bookmarkStart w:id="0" w:name="_Toc435035742"/>
      <w:bookmarkStart w:id="1" w:name="_Toc435440119"/>
      <w:bookmarkStart w:id="2" w:name="_Toc435440262"/>
      <w:bookmarkStart w:id="3" w:name="_Toc435441170"/>
      <w:bookmarkStart w:id="4" w:name="_Toc435553926"/>
      <w:r w:rsidRPr="006000B5">
        <w:rPr>
          <w:rFonts w:ascii="Cambria" w:eastAsia="Times New Roman" w:hAnsi="Cambria" w:cs="Times New Roman"/>
          <w:b/>
          <w:smallCaps/>
          <w:spacing w:val="5"/>
          <w:sz w:val="24"/>
          <w:szCs w:val="24"/>
        </w:rPr>
        <w:t>LEY Nº 25.916</w:t>
      </w:r>
      <w:bookmarkEnd w:id="0"/>
      <w:bookmarkEnd w:id="1"/>
      <w:bookmarkEnd w:id="2"/>
      <w:bookmarkEnd w:id="3"/>
      <w:bookmarkEnd w:id="4"/>
    </w:p>
    <w:p w:rsidR="006000B5" w:rsidRPr="006000B5" w:rsidRDefault="006000B5" w:rsidP="006000B5">
      <w:pPr>
        <w:keepNext/>
        <w:keepLines/>
        <w:spacing w:after="0" w:line="360" w:lineRule="auto"/>
        <w:outlineLvl w:val="2"/>
        <w:rPr>
          <w:rFonts w:ascii="Cambria" w:eastAsia="Times New Roman" w:hAnsi="Cambria" w:cs="Times New Roman"/>
          <w:b/>
          <w:smallCaps/>
          <w:spacing w:val="5"/>
          <w:sz w:val="24"/>
          <w:szCs w:val="24"/>
        </w:rPr>
      </w:pPr>
      <w:bookmarkStart w:id="5" w:name="_Toc435035743"/>
      <w:bookmarkStart w:id="6" w:name="_Toc435440120"/>
      <w:bookmarkStart w:id="7" w:name="_Toc435440263"/>
      <w:bookmarkStart w:id="8" w:name="_Toc435441171"/>
      <w:bookmarkStart w:id="9" w:name="_Toc435553927"/>
      <w:r w:rsidRPr="006000B5">
        <w:rPr>
          <w:rFonts w:ascii="Cambria" w:eastAsia="Times New Roman" w:hAnsi="Cambria" w:cs="Times New Roman"/>
          <w:b/>
          <w:smallCaps/>
          <w:spacing w:val="5"/>
          <w:sz w:val="24"/>
          <w:szCs w:val="24"/>
        </w:rPr>
        <w:t>Presupuestos mínimos de protección ambiental para  la gestión integral de residuos domiciliarios</w:t>
      </w:r>
      <w:bookmarkEnd w:id="5"/>
      <w:bookmarkEnd w:id="6"/>
      <w:bookmarkEnd w:id="7"/>
      <w:bookmarkEnd w:id="8"/>
      <w:bookmarkEnd w:id="9"/>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Establécense presupuestos mínimos de protección ambiental para la gestión integral de residuos domiciliarios. Disposiciones generales. Autoridades competentes. Generación y Disposición inicial. Recolección y Transporte. Tratamiento, Transferencia y Disposición final. Coordinación </w:t>
      </w:r>
      <w:proofErr w:type="spellStart"/>
      <w:r w:rsidRPr="006000B5">
        <w:rPr>
          <w:rFonts w:ascii="Cambria" w:eastAsia="Calibri" w:hAnsi="Cambria" w:cs="Times New Roman"/>
          <w:sz w:val="24"/>
          <w:szCs w:val="24"/>
          <w:lang w:val="es-MX"/>
        </w:rPr>
        <w:t>interjurisdiccional</w:t>
      </w:r>
      <w:proofErr w:type="spellEnd"/>
      <w:r w:rsidRPr="006000B5">
        <w:rPr>
          <w:rFonts w:ascii="Cambria" w:eastAsia="Calibri" w:hAnsi="Cambria" w:cs="Times New Roman"/>
          <w:sz w:val="24"/>
          <w:szCs w:val="24"/>
          <w:lang w:val="es-MX"/>
        </w:rPr>
        <w:t>. Autoridad de aplicación. Infracciones y sanciones. Disposiciones complementarias.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Sancionada: Agosto 4 de 2004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Promulgada parcialmente: Septiembre 3 de 2004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El Senado y Cámara de Diputados de la Nación Argentina reunidos en Congreso, etc. sancionan con fuerza de Ley: </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Gestión integral de residuos domiciliarios</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Capítulo I</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Disposiciones generales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1º — Las disposiciones de la presente ley establecen los presupuestos mínimos de protección ambiental para la gestión integral de los residuos domiciliarios, sean éstos de origen residencial, urbano, comercial, asistencial, sanitario, industrial o institucional, con excepción de aquellos que se encuentren regulados por normas específicas.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2º — Denomínese residuo domiciliario a aquellos elementos, objetos o sustancias que como consecuencia de los procesos de consumo y desarrollo de actividades humanas, son desechados y/o abandonados.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3º — Se denomina gestión integral de residuos domiciliarios al conjunto de actividades interdependientes y complementarias entre sí, que conforman un proceso de acciones para el manejo de residuos domiciliarios, con el objeto de proteger el ambiente y la calidad de vida de la población.</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La gestión integral de residuos domiciliarios comprende de las siguientes etapas: generación, disposición inicial, recolección, transferencia, transporte, tratamiento y disposición final.</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 Generación: es la actividad que comprende la producción de residuos domiciliarios.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lastRenderedPageBreak/>
        <w:t>b) Disposición inicial: es la acción por la cual se depositan o abandonan los residuos; es efectuada por el generador, y debe realizarse en la forma que determinen las distintas jurisdicciones.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La disposición inicial podrá ser: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1. General: sin clasificación y separación de residuos.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2. Selectiva: con clasificación y separación de residuos a cargo del generador.</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c) Recolección: es el conjunto de acciones que comprende el acopio y carga de los residuos en los vehículos recolectores. La recolección podrá ser: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1. General: sin discriminar los distintos tipos de residuo.</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2. Diferenciada: discriminando por tipo de residuo en función de su tratamiento y valoración posterior.</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d) Transferencia: comprende las actividades de almacenamiento transitorio y/o acondicionamiento de residuos para su transporte.</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e) Transporte: comprende los viajes de traslado de los residuos entre los diferentes sitios comprendidos en la gestión integral.</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f) Tratamiento: comprende el conjunto de operaciones tendientes al acondicionamiento y valorización de los residuos.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Se entiende por acondicionamiento a las operaciones realizadas a fin de adecuar los residuos para su valorización o disposición final.</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Se entiende por valorización a todo procedimiento que permita el aprovechamiento del recurso contenido en los residuos, mediante el reciclaje en sus formas físico, químico, mecánico o biológico, y la reutilización.</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g) Disposición final: comprende al conjunto de operaciones destinadas a lograr el depósito permanente de los residuos domiciliarios, así como de las fracciones de rechazo inevitables resultantes de los métodos de tratamiento adoptados. Asimismo, quedan comprendidas en esta etapa las actividades propias de la clausura y </w:t>
      </w:r>
      <w:proofErr w:type="spellStart"/>
      <w:r w:rsidRPr="006000B5">
        <w:rPr>
          <w:rFonts w:ascii="Cambria" w:eastAsia="Calibri" w:hAnsi="Cambria" w:cs="Times New Roman"/>
          <w:sz w:val="24"/>
          <w:szCs w:val="24"/>
          <w:lang w:val="es-MX"/>
        </w:rPr>
        <w:t>postclausura</w:t>
      </w:r>
      <w:proofErr w:type="spellEnd"/>
      <w:r w:rsidRPr="006000B5">
        <w:rPr>
          <w:rFonts w:ascii="Cambria" w:eastAsia="Calibri" w:hAnsi="Cambria" w:cs="Times New Roman"/>
          <w:sz w:val="24"/>
          <w:szCs w:val="24"/>
          <w:lang w:val="es-MX"/>
        </w:rPr>
        <w:t xml:space="preserve"> de los centros de disposición final.</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4º — Son objetivos de la presente ley: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 Lograr un adecuado y racional manejo de los residuos domiciliarios mediante su gestión integral, a fin de proteger el ambiente y la calidad de vida de la población;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lastRenderedPageBreak/>
        <w:t xml:space="preserve">b) Promover la valorización de los residuos domiciliarios, a través de la implementación de métodos y procesos adecuados;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c) Minimizar los impactos negativos que estos residuos puedan producir sobre el ambiente;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d) Lograr la minimización de los residuos con destino a disposición final.</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Capítulo II</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Autoridades competentes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5º — Serán autoridades competentes de la presente ley los organismos que determinen cada una de las jurisdicciones locales.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6º — Las autoridades competentes serán responsables de la gestión integral de los residuos domiciliarios producidos en su jurisdicción, y deberán establecer las normas complementarias necesarias para el cumplimiento efectivo de la presente ley.</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Asimismo, establecerán sistemas de gestión de residuos adaptados a las características y particularidades de su jurisdicción, los que deberán prevenir y minimizar los posibles impactos negativos sobre el ambiente y la calidad de vida de la población.</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7º — Las autoridades competentes podrán suscribir convenios bilaterales o multilaterales, que posibiliten la implementación de estrategias regionales para alguna o la totalidad de las etapas de la gestión integral de los residuos domiciliarios.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8º — Las autoridades competentes promoverán la valorización de residuos mediante la implementación de programas de cumplimiento e implementación gradual.</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Capítulo III</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Generación y Disposición inicial</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9º — </w:t>
      </w:r>
      <w:proofErr w:type="spellStart"/>
      <w:r w:rsidRPr="006000B5">
        <w:rPr>
          <w:rFonts w:ascii="Cambria" w:eastAsia="Calibri" w:hAnsi="Cambria" w:cs="Times New Roman"/>
          <w:sz w:val="24"/>
          <w:szCs w:val="24"/>
          <w:lang w:val="es-MX"/>
        </w:rPr>
        <w:t>Denomínase</w:t>
      </w:r>
      <w:proofErr w:type="spellEnd"/>
      <w:r w:rsidRPr="006000B5">
        <w:rPr>
          <w:rFonts w:ascii="Cambria" w:eastAsia="Calibri" w:hAnsi="Cambria" w:cs="Times New Roman"/>
          <w:sz w:val="24"/>
          <w:szCs w:val="24"/>
          <w:lang w:val="es-MX"/>
        </w:rPr>
        <w:t xml:space="preserve"> generador, a los efectos de la presente ley, a toda persona física o jurídica que produzca residuos en los términos del artículo 2º. El generador tiene la obligación de realizar el acopio inicial y la disposición inicial de los residuos de acuerdo a las normas complementarias que cada jurisdicción establezca.</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10. — La disposición inicial de residuos domiciliarios deberá efectuarse mediante métodos apropiados que prevengan y minimicen los posibles impactos negativos sobre el ambiente y la calidad de vida de la población.</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11. — Los generadores, en función de la calidad y cantidad de residuos, y de las condiciones en que los generan se clasifican en: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lastRenderedPageBreak/>
        <w:t>a) Generadores individuales.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b) Generadores especiales.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Los parámetros para su determinación serán establecidos por las normas complementarias de cada jurisdicción.</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12. — </w:t>
      </w:r>
      <w:proofErr w:type="spellStart"/>
      <w:r w:rsidRPr="006000B5">
        <w:rPr>
          <w:rFonts w:ascii="Cambria" w:eastAsia="Calibri" w:hAnsi="Cambria" w:cs="Times New Roman"/>
          <w:sz w:val="24"/>
          <w:szCs w:val="24"/>
          <w:lang w:val="es-MX"/>
        </w:rPr>
        <w:t>Denomínase</w:t>
      </w:r>
      <w:proofErr w:type="spellEnd"/>
      <w:r w:rsidRPr="006000B5">
        <w:rPr>
          <w:rFonts w:ascii="Cambria" w:eastAsia="Calibri" w:hAnsi="Cambria" w:cs="Times New Roman"/>
          <w:sz w:val="24"/>
          <w:szCs w:val="24"/>
          <w:lang w:val="es-MX"/>
        </w:rPr>
        <w:t xml:space="preserve"> generadores especiales, a los efectos de la presente ley, a aquellos generadores que producen residuos domiciliarios en calidad, cantidad y condiciones tales que, a criterio de la autoridad competente, requieran de la implementación de programas particulares de gestión, previamente aprobados por la misma.</w:t>
      </w:r>
    </w:p>
    <w:p w:rsidR="006000B5" w:rsidRPr="006000B5" w:rsidRDefault="006000B5" w:rsidP="006000B5">
      <w:pPr>
        <w:spacing w:after="0" w:line="360" w:lineRule="auto"/>
        <w:jc w:val="both"/>
        <w:rPr>
          <w:rFonts w:ascii="Cambria" w:eastAsia="Calibri" w:hAnsi="Cambria" w:cs="Times New Roman"/>
          <w:sz w:val="24"/>
          <w:szCs w:val="24"/>
          <w:lang w:val="es-MX"/>
        </w:rPr>
      </w:pPr>
      <w:proofErr w:type="spellStart"/>
      <w:r w:rsidRPr="006000B5">
        <w:rPr>
          <w:rFonts w:ascii="Cambria" w:eastAsia="Calibri" w:hAnsi="Cambria" w:cs="Times New Roman"/>
          <w:sz w:val="24"/>
          <w:szCs w:val="24"/>
          <w:lang w:val="es-MX"/>
        </w:rPr>
        <w:t>Denomínase</w:t>
      </w:r>
      <w:proofErr w:type="spellEnd"/>
      <w:r w:rsidRPr="006000B5">
        <w:rPr>
          <w:rFonts w:ascii="Cambria" w:eastAsia="Calibri" w:hAnsi="Cambria" w:cs="Times New Roman"/>
          <w:sz w:val="24"/>
          <w:szCs w:val="24"/>
          <w:lang w:val="es-MX"/>
        </w:rPr>
        <w:t xml:space="preserve"> generadores individuales, a los efectos de la presente ley, a aquellos generadores que, a diferencia de los generadores especiales, no precisan de programas particulares de gestión.</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Capítulo IV</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Recolección y transporte</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13. — Las autoridades competentes deberán garantizar que los residuos domiciliarios sean recolectados y transportados a los sitios habilitados mediante métodos que prevengan y minimicen los impactos negativos sobre el ambiente y la calidad de vida de la población. Asimismo, deberán determinar la metodología y frecuencia con que se hará la recolección, la que deberá adecuarse a la cantidad de residuos generados y a las características ambientales y geográficas de su jurisdicción.</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14. — El transporte deberá efectuarse en vehículos habilitados, y debidamente acondicionados de manera de garantizar una adecuada contención de los residuos y evitar su dispersión en el ambiente.</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Capítulo V</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Tratamiento, Transferencia y Disposición final</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15. — </w:t>
      </w:r>
      <w:proofErr w:type="spellStart"/>
      <w:r w:rsidRPr="006000B5">
        <w:rPr>
          <w:rFonts w:ascii="Cambria" w:eastAsia="Calibri" w:hAnsi="Cambria" w:cs="Times New Roman"/>
          <w:sz w:val="24"/>
          <w:szCs w:val="24"/>
          <w:lang w:val="es-MX"/>
        </w:rPr>
        <w:t>Denomínase</w:t>
      </w:r>
      <w:proofErr w:type="spellEnd"/>
      <w:r w:rsidRPr="006000B5">
        <w:rPr>
          <w:rFonts w:ascii="Cambria" w:eastAsia="Calibri" w:hAnsi="Cambria" w:cs="Times New Roman"/>
          <w:sz w:val="24"/>
          <w:szCs w:val="24"/>
          <w:lang w:val="es-MX"/>
        </w:rPr>
        <w:t xml:space="preserve"> planta de tratamiento, a los fines de la presente ley, a aquellas instalaciones que son habilitadas para tal fin por la autoridad competente, y en las cuales los residuos domiciliarios son acondicionados y/o valorizados. El rechazo de los procesos de valorización y todo residuo domiciliario que no haya sido valorizado, deberá tener como destino un centro de disposición final habilitado por la autoridad competente.</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lastRenderedPageBreak/>
        <w:t xml:space="preserve">ARTICULO 16. — </w:t>
      </w:r>
      <w:proofErr w:type="spellStart"/>
      <w:r w:rsidRPr="006000B5">
        <w:rPr>
          <w:rFonts w:ascii="Cambria" w:eastAsia="Calibri" w:hAnsi="Cambria" w:cs="Times New Roman"/>
          <w:sz w:val="24"/>
          <w:szCs w:val="24"/>
          <w:lang w:val="es-MX"/>
        </w:rPr>
        <w:t>Denomínase</w:t>
      </w:r>
      <w:proofErr w:type="spellEnd"/>
      <w:r w:rsidRPr="006000B5">
        <w:rPr>
          <w:rFonts w:ascii="Cambria" w:eastAsia="Calibri" w:hAnsi="Cambria" w:cs="Times New Roman"/>
          <w:sz w:val="24"/>
          <w:szCs w:val="24"/>
          <w:lang w:val="es-MX"/>
        </w:rPr>
        <w:t xml:space="preserve"> estación de transferencia, a los fines de la presente ley, a aquellas instalaciones que son habilitadas para tal fin por la autoridad competente, y en las cuales los residuos domiciliarios son almacenados transitoriamente y/o acondicionados para su transporte.</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17. — </w:t>
      </w:r>
      <w:proofErr w:type="spellStart"/>
      <w:r w:rsidRPr="006000B5">
        <w:rPr>
          <w:rFonts w:ascii="Cambria" w:eastAsia="Calibri" w:hAnsi="Cambria" w:cs="Times New Roman"/>
          <w:sz w:val="24"/>
          <w:szCs w:val="24"/>
          <w:lang w:val="es-MX"/>
        </w:rPr>
        <w:t>Denomínase</w:t>
      </w:r>
      <w:proofErr w:type="spellEnd"/>
      <w:r w:rsidRPr="006000B5">
        <w:rPr>
          <w:rFonts w:ascii="Cambria" w:eastAsia="Calibri" w:hAnsi="Cambria" w:cs="Times New Roman"/>
          <w:sz w:val="24"/>
          <w:szCs w:val="24"/>
          <w:lang w:val="es-MX"/>
        </w:rPr>
        <w:t xml:space="preserve"> centros de disposición final, a los fines de la presente ley, a aquellos lugares especialmente acondicionados y habilitados por la autoridad competente para la disposición permanente de los residuos.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18. — Las autoridades competentes establecerán los requisitos necesarios para la habilitación de los centros de disposición final, en función de las características de los residuos domiciliarios a disponer, de las tecnologías a utilizar, y de las características ambientales locales. Sin perjuicio de ello, la habilitación de estos centros requerirá de la aprobación de una Evaluación de Impacto Ambiental, que contemple la ejecución de un Plan de Monitoreo de las principales variables ambientales durante las fases de operación, clausura y </w:t>
      </w:r>
      <w:proofErr w:type="spellStart"/>
      <w:r w:rsidRPr="006000B5">
        <w:rPr>
          <w:rFonts w:ascii="Cambria" w:eastAsia="Calibri" w:hAnsi="Cambria" w:cs="Times New Roman"/>
          <w:sz w:val="24"/>
          <w:szCs w:val="24"/>
          <w:lang w:val="es-MX"/>
        </w:rPr>
        <w:t>postclausura</w:t>
      </w:r>
      <w:proofErr w:type="spellEnd"/>
      <w:r w:rsidRPr="006000B5">
        <w:rPr>
          <w:rFonts w:ascii="Cambria" w:eastAsia="Calibri" w:hAnsi="Cambria" w:cs="Times New Roman"/>
          <w:sz w:val="24"/>
          <w:szCs w:val="24"/>
          <w:lang w:val="es-MX"/>
        </w:rPr>
        <w:t>.</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19. — Para la operación y clausura de las plantas de tratamiento y de las estaciones de transferencia, y para la operación, clausura y </w:t>
      </w:r>
      <w:proofErr w:type="spellStart"/>
      <w:r w:rsidRPr="006000B5">
        <w:rPr>
          <w:rFonts w:ascii="Cambria" w:eastAsia="Calibri" w:hAnsi="Cambria" w:cs="Times New Roman"/>
          <w:sz w:val="24"/>
          <w:szCs w:val="24"/>
          <w:lang w:val="es-MX"/>
        </w:rPr>
        <w:t>postclausura</w:t>
      </w:r>
      <w:proofErr w:type="spellEnd"/>
      <w:r w:rsidRPr="006000B5">
        <w:rPr>
          <w:rFonts w:ascii="Cambria" w:eastAsia="Calibri" w:hAnsi="Cambria" w:cs="Times New Roman"/>
          <w:sz w:val="24"/>
          <w:szCs w:val="24"/>
          <w:lang w:val="es-MX"/>
        </w:rPr>
        <w:t xml:space="preserve"> de los centros de disposición final, las autoridades competentes deberán autorizar métodos y tecnologías que prevengan y minimicen los posibles impactos negativos sobre el ambiente y la calidad de vida de la población.</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20. — Los centros de disposición final deberán ubicarse en sitios suficientemente alejados de áreas urbanas, de manera tal de no afectar la calidad de vida de la población; y su emplazamiento deberá determinarse considerando la planificación territorial, el uso del suelo y la expansión urbana durante un lapso que incluya el período de </w:t>
      </w:r>
      <w:proofErr w:type="spellStart"/>
      <w:r w:rsidRPr="006000B5">
        <w:rPr>
          <w:rFonts w:ascii="Cambria" w:eastAsia="Calibri" w:hAnsi="Cambria" w:cs="Times New Roman"/>
          <w:sz w:val="24"/>
          <w:szCs w:val="24"/>
          <w:lang w:val="es-MX"/>
        </w:rPr>
        <w:t>postclausura</w:t>
      </w:r>
      <w:proofErr w:type="spellEnd"/>
      <w:r w:rsidRPr="006000B5">
        <w:rPr>
          <w:rFonts w:ascii="Cambria" w:eastAsia="Calibri" w:hAnsi="Cambria" w:cs="Times New Roman"/>
          <w:sz w:val="24"/>
          <w:szCs w:val="24"/>
          <w:lang w:val="es-MX"/>
        </w:rPr>
        <w:t>. Asimismo, no podrán establecerse dentro de áreas protegidas o sitios que contengan elementos significativos del patrimonio natural y cultural.</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21. — Los centros de disposición final deberán ubicarse en sitios que no sean inundables. De no ser ello posible, deberán diseñarse de modo tal de evitar su inundación.</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Capítulo VI</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 xml:space="preserve">Coordinación </w:t>
      </w:r>
      <w:proofErr w:type="spellStart"/>
      <w:r w:rsidRPr="006000B5">
        <w:rPr>
          <w:rFonts w:ascii="Cambria" w:eastAsia="Calibri" w:hAnsi="Cambria" w:cs="Times New Roman"/>
          <w:sz w:val="24"/>
          <w:szCs w:val="24"/>
          <w:u w:val="single"/>
          <w:lang w:val="es-MX"/>
        </w:rPr>
        <w:t>interjurisdiccional</w:t>
      </w:r>
      <w:proofErr w:type="spellEnd"/>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lastRenderedPageBreak/>
        <w:t xml:space="preserve">ARTICULO 22. — El Consejo Federal de Medio Ambiente (COFEMA) a los fines de la presente ley, y en cumplimiento del Pacto Federal Ambiental actuará como el organismo de coordinación </w:t>
      </w:r>
      <w:proofErr w:type="spellStart"/>
      <w:r w:rsidRPr="006000B5">
        <w:rPr>
          <w:rFonts w:ascii="Cambria" w:eastAsia="Calibri" w:hAnsi="Cambria" w:cs="Times New Roman"/>
          <w:sz w:val="24"/>
          <w:szCs w:val="24"/>
          <w:lang w:val="es-MX"/>
        </w:rPr>
        <w:t>interjurisdiccional</w:t>
      </w:r>
      <w:proofErr w:type="spellEnd"/>
      <w:r w:rsidRPr="006000B5">
        <w:rPr>
          <w:rFonts w:ascii="Cambria" w:eastAsia="Calibri" w:hAnsi="Cambria" w:cs="Times New Roman"/>
          <w:sz w:val="24"/>
          <w:szCs w:val="24"/>
          <w:lang w:val="es-MX"/>
        </w:rPr>
        <w:t>, en procura de cooperar con el cumplimiento de los objetivos de la presente ley.</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23. — El organismo de coordinación tendrá los siguientes objetivos: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 Consensuar políticas de gestión integral de los residuos domiciliarios;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b) Acordar criterios técnicos y ambientales a emplear en las distintas etapas de la gestión integral;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c) Consensuar, junto a la Autoridad de Aplicación, las metas de valorización de residuos domiciliarios.</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Capítulo VII</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Autoridad de aplicación</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24. — Será autoridad de aplicación, </w:t>
      </w:r>
      <w:r w:rsidRPr="006000B5">
        <w:rPr>
          <w:rFonts w:ascii="Cambria" w:eastAsia="Calibri" w:hAnsi="Cambria" w:cs="Times New Roman"/>
          <w:i/>
          <w:sz w:val="24"/>
          <w:szCs w:val="24"/>
          <w:lang w:val="es-MX"/>
        </w:rPr>
        <w:t>en el ámbito de su jurisdicción</w:t>
      </w:r>
      <w:r w:rsidRPr="006000B5">
        <w:rPr>
          <w:rFonts w:ascii="Cambria" w:eastAsia="Calibri" w:hAnsi="Cambria" w:cs="Times New Roman"/>
          <w:sz w:val="24"/>
          <w:szCs w:val="24"/>
          <w:lang w:val="es-MX"/>
        </w:rPr>
        <w:t>, el organismo de mayor jerarquía con competencia ambiental que determine el Poder Ejecutivo nacional.</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25. — Serán funciones de la autoridad de aplicación: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 Formular políticas en materia de gestión de residuos domiciliarios, consensuadas en el seno del COFEMA.</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b) Elaborar un informe anual con la información que le provean las provincias y la Ciudad de Buenos Aires, el que deberá, como mínimo, especificar el tipo y cantidad de residuos domiciliarios que son recolectados, y además, aquellos que son valorizados o que tengan potencial para su valorización en cada una de las jurisdicciones.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c) Fomentar medidas que contemplen la integración de los circuitos informales de recolección de residuos.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d) Promover programas de educación ambiental, conforme a los objetivos de la presente ley.</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e) Proveer asesoramiento para la organización de programas de valorización y de sistemas de recolección diferenciada en las distintas jurisdicciones.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f) Promover la participación de la población en programas de reducción, reutilización y reciclaje de residuos.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lastRenderedPageBreak/>
        <w:t>g) Fomentar, a través de programas de comunicación social y de instrumentos económicos y jurídicos, la valorización de residuos, así como el consumo de productos en cuya elaboración se emplee material valorizado o con potencial para su valorización.</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h) Promover e incentivar la participación de los sectores productivos y de comercio de bienes en la gestión integral de residuos.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i) Impulsar y consensuar, en el ámbito del COFEMA, un programa nacional de metas cuantificables de valorización de residuos de cumplimiento progresivo; el cual deberá ser revisado y actualizado periódicamente.</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Capítulo VIII</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De las infracciones y sanciones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26. — El incumplimiento de las disposiciones de la presente ley o de las reglamentaciones que en su consecuencia se dicten, sin perjuicio de las sanciones civiles o penales que pudieran corresponder, será sancionado con: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 Apercibimiento.</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b) Multa de diez (10) hasta doscientos (200) sueldos mínimos de la categoría básica inicial de la Administración Pública Nacional.</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c) Suspensión de la actividad de treinta (30) días hasta un (1) año, según corresponda y atendiendo a las circunstancias del caso.</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d) Cese definitivo de la actividad y clausura de las instalaciones, según corresponda y atendiendo a las circunstancias del caso.</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ARTICULO 27. — Las sanciones establecidas en el artículo anterior se aplicarán previa instrucción </w:t>
      </w:r>
      <w:proofErr w:type="spellStart"/>
      <w:r w:rsidRPr="006000B5">
        <w:rPr>
          <w:rFonts w:ascii="Cambria" w:eastAsia="Calibri" w:hAnsi="Cambria" w:cs="Times New Roman"/>
          <w:sz w:val="24"/>
          <w:szCs w:val="24"/>
          <w:lang w:val="es-MX"/>
        </w:rPr>
        <w:t>sumaria</w:t>
      </w:r>
      <w:proofErr w:type="spellEnd"/>
      <w:r w:rsidRPr="006000B5">
        <w:rPr>
          <w:rFonts w:ascii="Cambria" w:eastAsia="Calibri" w:hAnsi="Cambria" w:cs="Times New Roman"/>
          <w:sz w:val="24"/>
          <w:szCs w:val="24"/>
          <w:lang w:val="es-MX"/>
        </w:rPr>
        <w:t xml:space="preserve"> que asegure el derecho de defensa, y se graduarán de acuerdo con la naturaleza de la infracción y el daño ocasionado.</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28. — En caso de reincidencia, los máximos de las sanciones previstas en los incisos b) y c) del artículo 26 podrán multiplicarse por una cifra igual a la cantidad de reincidencias aumentada en una unidad.</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29. — Se considerará reincidente al que, dentro del término de tres (3) años anteriores a la fecha de comisión de la infracción, haya sido sancionado por otra infracción de idéntica o similar causa.</w:t>
      </w:r>
    </w:p>
    <w:p w:rsidR="006000B5" w:rsidRPr="006000B5" w:rsidRDefault="006000B5" w:rsidP="006000B5">
      <w:pPr>
        <w:spacing w:after="0" w:line="360" w:lineRule="auto"/>
        <w:jc w:val="both"/>
        <w:rPr>
          <w:rFonts w:ascii="Cambria" w:eastAsia="Calibri" w:hAnsi="Cambria" w:cs="Times New Roman"/>
          <w:i/>
          <w:sz w:val="24"/>
          <w:szCs w:val="24"/>
          <w:lang w:val="es-MX"/>
        </w:rPr>
      </w:pPr>
      <w:r w:rsidRPr="006000B5">
        <w:rPr>
          <w:rFonts w:ascii="Cambria" w:eastAsia="Calibri" w:hAnsi="Cambria" w:cs="Times New Roman"/>
          <w:i/>
          <w:sz w:val="24"/>
          <w:szCs w:val="24"/>
          <w:lang w:val="es-MX"/>
        </w:rPr>
        <w:t xml:space="preserve">ARTICULO 30. — Las acciones para imponer sanciones previstas en la presente ley prescriben a los cinco (5) años contados a partir de la fecha en que se hubiere cometido la </w:t>
      </w:r>
      <w:r w:rsidRPr="006000B5">
        <w:rPr>
          <w:rFonts w:ascii="Cambria" w:eastAsia="Calibri" w:hAnsi="Cambria" w:cs="Times New Roman"/>
          <w:i/>
          <w:sz w:val="24"/>
          <w:szCs w:val="24"/>
          <w:lang w:val="es-MX"/>
        </w:rPr>
        <w:lastRenderedPageBreak/>
        <w:t>infracción o que la autoridad competente hubiere tomado conocimiento de la misma, la que sea más tardía.</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31. — Lo ingresado en concepto de multas a que se refiere el artículo 26, inciso b) serán percibidas por las autoridades competentes, según corresponda, para conformar un fondo destinado, exclusivamente, a la protección y restauración ambiental en cada una de las jurisdicciones.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32. — Cuando el infractor fuere una persona jurídica, los que tengan a su cargo la dirección, ad</w:t>
      </w:r>
      <w:bookmarkStart w:id="10" w:name="_GoBack"/>
      <w:bookmarkEnd w:id="10"/>
      <w:r w:rsidRPr="006000B5">
        <w:rPr>
          <w:rFonts w:ascii="Cambria" w:eastAsia="Calibri" w:hAnsi="Cambria" w:cs="Times New Roman"/>
          <w:sz w:val="24"/>
          <w:szCs w:val="24"/>
          <w:lang w:val="es-MX"/>
        </w:rPr>
        <w:t>ministración o gerencia, serán solidariamente responsables de las sanciones establecidas en el presente capítulo.</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Capítulo IX</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Plazos de adecuación</w:t>
      </w:r>
    </w:p>
    <w:p w:rsidR="006000B5" w:rsidRPr="006000B5" w:rsidRDefault="006000B5" w:rsidP="006000B5">
      <w:pPr>
        <w:spacing w:after="0" w:line="360" w:lineRule="auto"/>
        <w:jc w:val="both"/>
        <w:rPr>
          <w:rFonts w:ascii="Cambria" w:eastAsia="Calibri" w:hAnsi="Cambria" w:cs="Times New Roman"/>
          <w:i/>
          <w:sz w:val="24"/>
          <w:szCs w:val="24"/>
          <w:lang w:val="es-MX"/>
        </w:rPr>
      </w:pPr>
      <w:r w:rsidRPr="006000B5">
        <w:rPr>
          <w:rFonts w:ascii="Cambria" w:eastAsia="Calibri" w:hAnsi="Cambria" w:cs="Times New Roman"/>
          <w:i/>
          <w:sz w:val="24"/>
          <w:szCs w:val="24"/>
          <w:lang w:val="es-MX"/>
        </w:rPr>
        <w:t xml:space="preserve">ARTICULO 33. — </w:t>
      </w:r>
      <w:proofErr w:type="spellStart"/>
      <w:r w:rsidRPr="006000B5">
        <w:rPr>
          <w:rFonts w:ascii="Cambria" w:eastAsia="Calibri" w:hAnsi="Cambria" w:cs="Times New Roman"/>
          <w:i/>
          <w:sz w:val="24"/>
          <w:szCs w:val="24"/>
          <w:lang w:val="es-MX"/>
        </w:rPr>
        <w:t>Establécese</w:t>
      </w:r>
      <w:proofErr w:type="spellEnd"/>
      <w:r w:rsidRPr="006000B5">
        <w:rPr>
          <w:rFonts w:ascii="Cambria" w:eastAsia="Calibri" w:hAnsi="Cambria" w:cs="Times New Roman"/>
          <w:i/>
          <w:sz w:val="24"/>
          <w:szCs w:val="24"/>
          <w:lang w:val="es-MX"/>
        </w:rPr>
        <w:t xml:space="preserve"> un plazo de 10 años, a partir de la entrada en vigencia de la presente ley, para la adecuación de las distintas jurisdicciones a las disposiciones establecidas en esta ley respecto de la disposición final de residuos domiciliarios. Transcurrido ese plazo, queda prohibida en todo el territorio nacional la disposición final de residuos domiciliarios que no cumpla con dichas disposiciones.</w:t>
      </w:r>
    </w:p>
    <w:p w:rsidR="006000B5" w:rsidRPr="006000B5" w:rsidRDefault="006000B5" w:rsidP="006000B5">
      <w:pPr>
        <w:spacing w:after="0" w:line="360" w:lineRule="auto"/>
        <w:jc w:val="both"/>
        <w:rPr>
          <w:rFonts w:ascii="Cambria" w:eastAsia="Calibri" w:hAnsi="Cambria" w:cs="Times New Roman"/>
          <w:i/>
          <w:sz w:val="24"/>
          <w:szCs w:val="24"/>
          <w:lang w:val="es-MX"/>
        </w:rPr>
      </w:pPr>
      <w:r w:rsidRPr="006000B5">
        <w:rPr>
          <w:rFonts w:ascii="Cambria" w:eastAsia="Calibri" w:hAnsi="Cambria" w:cs="Times New Roman"/>
          <w:i/>
          <w:sz w:val="24"/>
          <w:szCs w:val="24"/>
          <w:lang w:val="es-MX"/>
        </w:rPr>
        <w:t xml:space="preserve">ARTICULO 34. — </w:t>
      </w:r>
      <w:proofErr w:type="spellStart"/>
      <w:r w:rsidRPr="006000B5">
        <w:rPr>
          <w:rFonts w:ascii="Cambria" w:eastAsia="Calibri" w:hAnsi="Cambria" w:cs="Times New Roman"/>
          <w:i/>
          <w:sz w:val="24"/>
          <w:szCs w:val="24"/>
          <w:lang w:val="es-MX"/>
        </w:rPr>
        <w:t>Establécese</w:t>
      </w:r>
      <w:proofErr w:type="spellEnd"/>
      <w:r w:rsidRPr="006000B5">
        <w:rPr>
          <w:rFonts w:ascii="Cambria" w:eastAsia="Calibri" w:hAnsi="Cambria" w:cs="Times New Roman"/>
          <w:i/>
          <w:sz w:val="24"/>
          <w:szCs w:val="24"/>
          <w:lang w:val="es-MX"/>
        </w:rPr>
        <w:t xml:space="preserve"> un plazo de 15 años, a partir de la entrada en vigencia de la presente ley, para la adecuación de las distintas jurisdicciones al conjunto de disposiciones establecidas en esta ley. Transcurrido ese plazo, queda prohibida en todo el territorio nacional la gestión de residuos domiciliarios que no cumpla con dichas disposiciones.</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Capítulo X</w:t>
      </w:r>
    </w:p>
    <w:p w:rsidR="006000B5" w:rsidRPr="006000B5" w:rsidRDefault="006000B5" w:rsidP="006000B5">
      <w:pPr>
        <w:spacing w:after="0" w:line="360" w:lineRule="auto"/>
        <w:jc w:val="both"/>
        <w:rPr>
          <w:rFonts w:ascii="Cambria" w:eastAsia="Calibri" w:hAnsi="Cambria" w:cs="Times New Roman"/>
          <w:sz w:val="24"/>
          <w:szCs w:val="24"/>
          <w:u w:val="single"/>
          <w:lang w:val="es-MX"/>
        </w:rPr>
      </w:pPr>
      <w:r w:rsidRPr="006000B5">
        <w:rPr>
          <w:rFonts w:ascii="Cambria" w:eastAsia="Calibri" w:hAnsi="Cambria" w:cs="Times New Roman"/>
          <w:sz w:val="24"/>
          <w:szCs w:val="24"/>
          <w:u w:val="single"/>
          <w:lang w:val="es-MX"/>
        </w:rPr>
        <w:t>Disposiciones Complementarias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35. — Las autoridades competentes deberán establecer, en el ámbito de su jurisdicción, programas especiales de gestión para aquellos residuos domiciliarios que por sus características particulares de peligrosidad, nocividad o toxicidad, puedan presentar riesgos significativos sobre la salud humana o animal, o sobre los recursos ambientales.</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36. — Las provincias y la Ciudad de Buenos Aires deberán brindar a la Autoridad de Aplicación la información sobre el tipo y cantidad de residuos domiciliarios recolectados en su jurisdicción, así como también aquellos que son valorizados o que tengan potencial para su valorización.</w:t>
      </w:r>
    </w:p>
    <w:p w:rsidR="006000B5" w:rsidRPr="006000B5" w:rsidRDefault="006000B5" w:rsidP="006000B5">
      <w:pPr>
        <w:spacing w:after="0" w:line="360" w:lineRule="auto"/>
        <w:jc w:val="both"/>
        <w:rPr>
          <w:rFonts w:ascii="Cambria" w:eastAsia="Calibri" w:hAnsi="Cambria" w:cs="Times New Roman"/>
          <w:i/>
          <w:sz w:val="24"/>
          <w:szCs w:val="24"/>
          <w:lang w:val="es-MX"/>
        </w:rPr>
      </w:pPr>
      <w:r w:rsidRPr="006000B5">
        <w:rPr>
          <w:rFonts w:ascii="Cambria" w:eastAsia="Calibri" w:hAnsi="Cambria" w:cs="Times New Roman"/>
          <w:i/>
          <w:sz w:val="24"/>
          <w:szCs w:val="24"/>
          <w:lang w:val="es-MX"/>
        </w:rPr>
        <w:lastRenderedPageBreak/>
        <w:t>ARTICULO 37. — Se prohíbe la importación o introducción de residuos domiciliarios provenientes de otros países al territorio nacional.</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38. — La presente ley es de orden público.</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ARTICULO 39. — Comuníquese al Poder Ejecutivo.</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DADA EN LA SALA DE SESIONES DEL CONGRESO ARGENTINO, EN BUENOS AIRES, A LOS CUATRO DIAS DEL MES DE AGOSTO DEL AÑO DOS MIL CUATRO.</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REGISTRADO BAJO EL Nº 25.916 —</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 xml:space="preserve">EDUARDO O. CAMAÑO. — MARCELO A. GUINLE. — Eduardo D. </w:t>
      </w:r>
      <w:proofErr w:type="spellStart"/>
      <w:r w:rsidRPr="006000B5">
        <w:rPr>
          <w:rFonts w:ascii="Cambria" w:eastAsia="Calibri" w:hAnsi="Cambria" w:cs="Times New Roman"/>
          <w:sz w:val="24"/>
          <w:szCs w:val="24"/>
          <w:lang w:val="es-MX"/>
        </w:rPr>
        <w:t>Rollano</w:t>
      </w:r>
      <w:proofErr w:type="spellEnd"/>
      <w:r w:rsidRPr="006000B5">
        <w:rPr>
          <w:rFonts w:ascii="Cambria" w:eastAsia="Calibri" w:hAnsi="Cambria" w:cs="Times New Roman"/>
          <w:sz w:val="24"/>
          <w:szCs w:val="24"/>
          <w:lang w:val="es-MX"/>
        </w:rPr>
        <w:t>. — Juan Estrada.</w:t>
      </w:r>
    </w:p>
    <w:p w:rsidR="006000B5" w:rsidRPr="006000B5" w:rsidRDefault="006000B5" w:rsidP="006000B5">
      <w:pPr>
        <w:spacing w:after="0" w:line="360" w:lineRule="auto"/>
        <w:jc w:val="both"/>
        <w:rPr>
          <w:rFonts w:ascii="Cambria" w:eastAsia="Calibri" w:hAnsi="Cambria" w:cs="Times New Roman"/>
          <w:sz w:val="24"/>
          <w:szCs w:val="24"/>
          <w:lang w:val="es-MX"/>
        </w:rPr>
      </w:pPr>
      <w:r w:rsidRPr="006000B5">
        <w:rPr>
          <w:rFonts w:ascii="Cambria" w:eastAsia="Calibri" w:hAnsi="Cambria" w:cs="Times New Roman"/>
          <w:sz w:val="24"/>
          <w:szCs w:val="24"/>
          <w:lang w:val="es-MX"/>
        </w:rPr>
        <w:t>–––––––––––-</w:t>
      </w:r>
    </w:p>
    <w:p w:rsidR="00F77871" w:rsidRDefault="006000B5" w:rsidP="006000B5">
      <w:pPr>
        <w:spacing w:after="0" w:line="360" w:lineRule="auto"/>
      </w:pPr>
      <w:r w:rsidRPr="006000B5">
        <w:rPr>
          <w:rFonts w:ascii="Cambria" w:eastAsia="Calibri" w:hAnsi="Cambria" w:cs="Times New Roman"/>
          <w:sz w:val="24"/>
          <w:szCs w:val="24"/>
          <w:lang w:val="es-MX"/>
        </w:rPr>
        <w:t xml:space="preserve">NOTA: Los textos en </w:t>
      </w:r>
      <w:r w:rsidRPr="006000B5">
        <w:rPr>
          <w:rFonts w:ascii="Cambria" w:eastAsia="Calibri" w:hAnsi="Cambria" w:cs="Times New Roman"/>
          <w:i/>
          <w:sz w:val="24"/>
          <w:szCs w:val="24"/>
          <w:lang w:val="es-MX"/>
        </w:rPr>
        <w:t>bastardilla</w:t>
      </w:r>
      <w:r w:rsidRPr="006000B5">
        <w:rPr>
          <w:rFonts w:ascii="Cambria" w:eastAsia="Calibri" w:hAnsi="Cambria" w:cs="Times New Roman"/>
          <w:sz w:val="24"/>
          <w:szCs w:val="24"/>
          <w:lang w:val="es-MX"/>
        </w:rPr>
        <w:t xml:space="preserve"> fueron observados</w:t>
      </w:r>
    </w:p>
    <w:sectPr w:rsidR="00F778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B5"/>
    <w:rsid w:val="006000B5"/>
    <w:rsid w:val="00F778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7F4D6-5CDD-470E-BF04-3C0D4162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2565</Words>
  <Characters>14109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Perez Cubero</dc:creator>
  <cp:keywords/>
  <dc:description/>
  <cp:lastModifiedBy>Eugenia Perez Cubero</cp:lastModifiedBy>
  <cp:revision>1</cp:revision>
  <dcterms:created xsi:type="dcterms:W3CDTF">2018-04-01T20:45:00Z</dcterms:created>
  <dcterms:modified xsi:type="dcterms:W3CDTF">2018-04-01T20:46:00Z</dcterms:modified>
</cp:coreProperties>
</file>