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083E0" w14:textId="77777777" w:rsidR="00CD0C84" w:rsidRDefault="003B1058">
      <w:r>
        <w:rPr>
          <w:noProof/>
          <w:lang w:val="es-AR" w:eastAsia="es-AR"/>
        </w:rPr>
        <w:drawing>
          <wp:anchor distT="0" distB="0" distL="114300" distR="114300" simplePos="0" relativeHeight="251658240" behindDoc="0" locked="0" layoutInCell="1" allowOverlap="1" wp14:anchorId="260C11FE" wp14:editId="381B0CEC">
            <wp:simplePos x="0" y="0"/>
            <wp:positionH relativeFrom="margin">
              <wp:posOffset>1288746</wp:posOffset>
            </wp:positionH>
            <wp:positionV relativeFrom="paragraph">
              <wp:posOffset>-531493</wp:posOffset>
            </wp:positionV>
            <wp:extent cx="1837055" cy="514350"/>
            <wp:effectExtent l="0" t="0" r="0" b="0"/>
            <wp:wrapNone/>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cstate="print"/>
                    <a:srcRect/>
                    <a:stretch>
                      <a:fillRect/>
                    </a:stretch>
                  </pic:blipFill>
                  <pic:spPr>
                    <a:xfrm>
                      <a:off x="0" y="0"/>
                      <a:ext cx="1837055" cy="514350"/>
                    </a:xfrm>
                    <a:prstGeom prst="rect">
                      <a:avLst/>
                    </a:prstGeom>
                    <a:ln/>
                  </pic:spPr>
                </pic:pic>
              </a:graphicData>
            </a:graphic>
          </wp:anchor>
        </w:drawing>
      </w:r>
      <w:r>
        <w:rPr>
          <w:noProof/>
          <w:lang w:val="es-AR" w:eastAsia="es-AR"/>
        </w:rPr>
        <w:drawing>
          <wp:anchor distT="0" distB="0" distL="114300" distR="114300" simplePos="0" relativeHeight="251659264" behindDoc="0" locked="0" layoutInCell="1" allowOverlap="1" wp14:anchorId="00CB96CD" wp14:editId="1D64DA84">
            <wp:simplePos x="0" y="0"/>
            <wp:positionH relativeFrom="margin">
              <wp:posOffset>3315031</wp:posOffset>
            </wp:positionH>
            <wp:positionV relativeFrom="paragraph">
              <wp:posOffset>-408938</wp:posOffset>
            </wp:positionV>
            <wp:extent cx="1334770" cy="312420"/>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cstate="print"/>
                    <a:srcRect/>
                    <a:stretch>
                      <a:fillRect/>
                    </a:stretch>
                  </pic:blipFill>
                  <pic:spPr>
                    <a:xfrm>
                      <a:off x="0" y="0"/>
                      <a:ext cx="1334770" cy="312420"/>
                    </a:xfrm>
                    <a:prstGeom prst="rect">
                      <a:avLst/>
                    </a:prstGeom>
                    <a:ln/>
                  </pic:spPr>
                </pic:pic>
              </a:graphicData>
            </a:graphic>
          </wp:anchor>
        </w:drawing>
      </w:r>
      <w:r>
        <w:rPr>
          <w:noProof/>
          <w:lang w:val="es-AR" w:eastAsia="es-AR"/>
        </w:rPr>
        <w:drawing>
          <wp:anchor distT="0" distB="0" distL="114300" distR="114300" simplePos="0" relativeHeight="251660288" behindDoc="0" locked="0" layoutInCell="1" allowOverlap="1" wp14:anchorId="411FBB97" wp14:editId="796C79B0">
            <wp:simplePos x="0" y="0"/>
            <wp:positionH relativeFrom="margin">
              <wp:posOffset>-548003</wp:posOffset>
            </wp:positionH>
            <wp:positionV relativeFrom="paragraph">
              <wp:posOffset>-407419</wp:posOffset>
            </wp:positionV>
            <wp:extent cx="1629410" cy="303530"/>
            <wp:effectExtent l="0" t="0" r="0" b="0"/>
            <wp:wrapNone/>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cstate="print"/>
                    <a:srcRect/>
                    <a:stretch>
                      <a:fillRect/>
                    </a:stretch>
                  </pic:blipFill>
                  <pic:spPr>
                    <a:xfrm>
                      <a:off x="0" y="0"/>
                      <a:ext cx="1629410" cy="303530"/>
                    </a:xfrm>
                    <a:prstGeom prst="rect">
                      <a:avLst/>
                    </a:prstGeom>
                    <a:ln/>
                  </pic:spPr>
                </pic:pic>
              </a:graphicData>
            </a:graphic>
          </wp:anchor>
        </w:drawing>
      </w:r>
    </w:p>
    <w:p w14:paraId="5FD00E11" w14:textId="5A4BA7AF" w:rsidR="00CD0C84" w:rsidRDefault="00960452">
      <w:r>
        <w:rPr>
          <w:noProof/>
          <w:lang w:val="es-AR" w:eastAsia="es-AR"/>
        </w:rPr>
        <mc:AlternateContent>
          <mc:Choice Requires="wps">
            <w:drawing>
              <wp:anchor distT="0" distB="0" distL="114300" distR="114300" simplePos="0" relativeHeight="251661312" behindDoc="1" locked="0" layoutInCell="1" allowOverlap="1" wp14:anchorId="0384B361" wp14:editId="236CD50B">
                <wp:simplePos x="0" y="0"/>
                <wp:positionH relativeFrom="margin">
                  <wp:posOffset>-853440</wp:posOffset>
                </wp:positionH>
                <wp:positionV relativeFrom="paragraph">
                  <wp:posOffset>5168900</wp:posOffset>
                </wp:positionV>
                <wp:extent cx="7112000" cy="2413000"/>
                <wp:effectExtent l="0" t="0" r="0" b="0"/>
                <wp:wrapSquare wrapText="bothSides"/>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0" cy="2413000"/>
                        </a:xfrm>
                        <a:prstGeom prst="rect">
                          <a:avLst/>
                        </a:prstGeom>
                        <a:noFill/>
                        <a:ln>
                          <a:noFill/>
                        </a:ln>
                      </wps:spPr>
                      <wps:txbx>
                        <w:txbxContent>
                          <w:p w14:paraId="06DE48B4" w14:textId="709F7601" w:rsidR="00ED5CDE" w:rsidRDefault="00484AE9">
                            <w:pPr>
                              <w:spacing w:line="258" w:lineRule="auto"/>
                              <w:jc w:val="right"/>
                              <w:textDirection w:val="btLr"/>
                              <w:rPr>
                                <w:lang w:val="es-AR"/>
                              </w:rPr>
                            </w:pPr>
                            <w:r>
                              <w:rPr>
                                <w:lang w:val="es-AR"/>
                              </w:rPr>
                              <w:t xml:space="preserve">MOOC- REUNID. </w:t>
                            </w:r>
                          </w:p>
                          <w:p w14:paraId="3C890C08" w14:textId="307F022B" w:rsidR="00484AE9" w:rsidRPr="00484AE9" w:rsidRDefault="00484AE9">
                            <w:pPr>
                              <w:spacing w:line="258" w:lineRule="auto"/>
                              <w:jc w:val="right"/>
                              <w:textDirection w:val="btLr"/>
                              <w:rPr>
                                <w:lang w:val="es-AR"/>
                              </w:rPr>
                            </w:pPr>
                            <w:r>
                              <w:rPr>
                                <w:lang w:val="es-AR"/>
                              </w:rPr>
                              <w:t>UNIVERSIDAD DE LA LAGUNA.</w:t>
                            </w:r>
                          </w:p>
                        </w:txbxContent>
                      </wps:txbx>
                      <wps:bodyPr lIns="1600200" tIns="0" rIns="685800" bIns="0" anchor="t" anchorCtr="0"/>
                    </wps:wsp>
                  </a:graphicData>
                </a:graphic>
                <wp14:sizeRelH relativeFrom="page">
                  <wp14:pctWidth>0</wp14:pctWidth>
                </wp14:sizeRelH>
                <wp14:sizeRelV relativeFrom="page">
                  <wp14:pctHeight>0</wp14:pctHeight>
                </wp14:sizeRelV>
              </wp:anchor>
            </w:drawing>
          </mc:Choice>
          <mc:Fallback>
            <w:pict>
              <v:rect w14:anchorId="0384B361" id="Rectángulo 11" o:spid="_x0000_s1026" style="position:absolute;margin-left:-67.2pt;margin-top:407pt;width:560pt;height:19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" filled="f" stroked="f">
                <v:path arrowok="t"/>
                <v:textbox inset="126pt,0,54pt,0">
                  <w:txbxContent>
                    <w:p w14:paraId="06DE48B4" w14:textId="709F7601" w:rsidR="00ED5CDE" w:rsidRDefault="00484AE9">
                      <w:pPr>
                        <w:spacing w:line="258" w:lineRule="auto"/>
                        <w:jc w:val="right"/>
                        <w:textDirection w:val="btLr"/>
                        <w:rPr>
                          <w:lang w:val="es-AR"/>
                        </w:rPr>
                      </w:pPr>
                      <w:r>
                        <w:rPr>
                          <w:lang w:val="es-AR"/>
                        </w:rPr>
                        <w:t xml:space="preserve">MOOC- REUNID. </w:t>
                      </w:r>
                    </w:p>
                    <w:p w14:paraId="3C890C08" w14:textId="307F022B" w:rsidR="00484AE9" w:rsidRPr="00484AE9" w:rsidRDefault="00484AE9">
                      <w:pPr>
                        <w:spacing w:line="258" w:lineRule="auto"/>
                        <w:jc w:val="right"/>
                        <w:textDirection w:val="btLr"/>
                        <w:rPr>
                          <w:lang w:val="es-AR"/>
                        </w:rPr>
                      </w:pPr>
                      <w:r>
                        <w:rPr>
                          <w:lang w:val="es-AR"/>
                        </w:rPr>
                        <w:t>UNIVERSIDAD DE LA LAGUNA.</w:t>
                      </w:r>
                    </w:p>
                  </w:txbxContent>
                </v:textbox>
                <w10:wrap type="square" anchorx="margin"/>
              </v:rect>
            </w:pict>
          </mc:Fallback>
        </mc:AlternateContent>
      </w:r>
      <w:r w:rsidR="003B1058">
        <w:br w:type="page"/>
      </w:r>
      <w:r w:rsidR="003B1058">
        <w:rPr>
          <w:noProof/>
          <w:lang w:val="es-AR" w:eastAsia="es-AR"/>
        </w:rPr>
        <w:drawing>
          <wp:anchor distT="0" distB="0" distL="0" distR="0" simplePos="0" relativeHeight="251651072" behindDoc="0" locked="0" layoutInCell="1" allowOverlap="1" wp14:anchorId="14E2340F" wp14:editId="44F3D02E">
            <wp:simplePos x="0" y="0"/>
            <wp:positionH relativeFrom="margin">
              <wp:posOffset>-1070608</wp:posOffset>
            </wp:positionH>
            <wp:positionV relativeFrom="paragraph">
              <wp:posOffset>1071350</wp:posOffset>
            </wp:positionV>
            <wp:extent cx="7553325" cy="3838575"/>
            <wp:effectExtent l="0" t="0" r="0" b="0"/>
            <wp:wrapSquare wrapText="bothSides" distT="0" distB="0" distL="0" distR="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cstate="print"/>
                    <a:srcRect l="50" t="29514" r="11190" b="862"/>
                    <a:stretch>
                      <a:fillRect/>
                    </a:stretch>
                  </pic:blipFill>
                  <pic:spPr>
                    <a:xfrm>
                      <a:off x="0" y="0"/>
                      <a:ext cx="7553325" cy="3838575"/>
                    </a:xfrm>
                    <a:prstGeom prst="rect">
                      <a:avLst/>
                    </a:prstGeom>
                    <a:ln/>
                  </pic:spPr>
                </pic:pic>
              </a:graphicData>
            </a:graphic>
          </wp:anchor>
        </w:drawing>
      </w:r>
      <w:r>
        <w:rPr>
          <w:noProof/>
          <w:lang w:val="es-AR" w:eastAsia="es-AR"/>
        </w:rPr>
        <mc:AlternateContent>
          <mc:Choice Requires="wps">
            <w:drawing>
              <wp:anchor distT="0" distB="0" distL="0" distR="0" simplePos="0" relativeHeight="251655168" behindDoc="1" locked="0" layoutInCell="1" allowOverlap="1" wp14:anchorId="58865F68" wp14:editId="77223D5D">
                <wp:simplePos x="0" y="0"/>
                <wp:positionH relativeFrom="margin">
                  <wp:posOffset>-1079500</wp:posOffset>
                </wp:positionH>
                <wp:positionV relativeFrom="paragraph">
                  <wp:posOffset>1054100</wp:posOffset>
                </wp:positionV>
                <wp:extent cx="7569200" cy="3873500"/>
                <wp:effectExtent l="0" t="0" r="0" b="0"/>
                <wp:wrapSquare wrapText="bothSides"/>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200" cy="3873500"/>
                        </a:xfrm>
                        <a:prstGeom prst="rect">
                          <a:avLst/>
                        </a:prstGeom>
                        <a:solidFill>
                          <a:srgbClr val="7A3B7A">
                            <a:alpha val="81568"/>
                          </a:srgbClr>
                        </a:solidFill>
                        <a:ln>
                          <a:noFill/>
                        </a:ln>
                      </wps:spPr>
                      <wps:txbx>
                        <w:txbxContent>
                          <w:p w14:paraId="1192140F" w14:textId="77777777" w:rsidR="00ED5CDE" w:rsidRDefault="00ED5CDE">
                            <w:pPr>
                              <w:spacing w:after="0" w:line="240" w:lineRule="auto"/>
                              <w:textDirection w:val="btLr"/>
                            </w:pPr>
                          </w:p>
                        </w:txbxContent>
                      </wps:txbx>
                      <wps:bodyPr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w14:anchorId="58865F68" id="Rectángulo 9" o:spid="_x0000_s1027" style="position:absolute;margin-left:-85pt;margin-top:83pt;width:596pt;height:30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" fillcolor="#7a3b7a" stroked="f">
                <v:fill opacity="53456f"/>
                <v:path arrowok="t"/>
                <v:textbox inset="2.53958mm,2.53958mm,2.53958mm,2.53958mm">
                  <w:txbxContent>
                    <w:p w14:paraId="1192140F" w14:textId="77777777" w:rsidR="00ED5CDE" w:rsidRDefault="00ED5CDE">
                      <w:pPr>
                        <w:spacing w:after="0" w:line="240" w:lineRule="auto"/>
                        <w:textDirection w:val="btLr"/>
                      </w:pPr>
                    </w:p>
                  </w:txbxContent>
                </v:textbox>
                <w10:wrap type="square" anchorx="margin"/>
              </v:rect>
            </w:pict>
          </mc:Fallback>
        </mc:AlternateContent>
      </w:r>
      <w:r>
        <w:rPr>
          <w:noProof/>
          <w:lang w:val="es-AR" w:eastAsia="es-AR"/>
        </w:rPr>
        <mc:AlternateContent>
          <mc:Choice Requires="wps">
            <w:drawing>
              <wp:anchor distT="4294967295" distB="4294967295" distL="114300" distR="114300" simplePos="0" relativeHeight="251665408" behindDoc="0" locked="0" layoutInCell="1" allowOverlap="1" wp14:anchorId="36070BCC" wp14:editId="0A345AD8">
                <wp:simplePos x="0" y="0"/>
                <wp:positionH relativeFrom="margin">
                  <wp:posOffset>-1066800</wp:posOffset>
                </wp:positionH>
                <wp:positionV relativeFrom="paragraph">
                  <wp:posOffset>1003300</wp:posOffset>
                </wp:positionV>
                <wp:extent cx="12192000" cy="101600"/>
                <wp:effectExtent l="38100" t="38100" r="38100" b="317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92000" cy="101600"/>
                        </a:xfrm>
                        <a:prstGeom prst="straightConnector1">
                          <a:avLst/>
                        </a:prstGeom>
                        <a:noFill/>
                        <a:ln w="50800" cap="sq" cmpd="sng">
                          <a:solidFill>
                            <a:srgbClr val="7A3B7A"/>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7DFD270" id="_x0000_t32" coordsize="21600,21600" o:spt="32" o:oned="t" path="m,l21600,21600e" filled="f">
                <v:path arrowok="t" fillok="f" o:connecttype="none"/>
                <o:lock v:ext="edit" shapetype="t"/>
              </v:shapetype>
              <v:shape id="Conector recto de flecha 8" o:spid="_x0000_s1026" type="#_x0000_t32" style="position:absolute;margin-left:-84pt;margin-top:79pt;width:960pt;height:8pt;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" strokecolor="#7a3b7a" strokeweight="4pt">
                <v:stroke joinstyle="miter" endcap="square"/>
                <o:lock v:ext="edit" shapetype="f"/>
                <w10:wrap anchorx="margin"/>
              </v:shape>
            </w:pict>
          </mc:Fallback>
        </mc:AlternateContent>
      </w:r>
      <w:r>
        <w:rPr>
          <w:noProof/>
          <w:lang w:val="es-AR" w:eastAsia="es-AR"/>
        </w:rPr>
        <mc:AlternateContent>
          <mc:Choice Requires="wps">
            <w:drawing>
              <wp:anchor distT="0" distB="0" distL="114300" distR="114300" simplePos="0" relativeHeight="251666432" behindDoc="0" locked="0" layoutInCell="1" allowOverlap="1" wp14:anchorId="475C63FB" wp14:editId="63717E34">
                <wp:simplePos x="0" y="0"/>
                <wp:positionH relativeFrom="margin">
                  <wp:posOffset>-1054100</wp:posOffset>
                </wp:positionH>
                <wp:positionV relativeFrom="paragraph">
                  <wp:posOffset>1600200</wp:posOffset>
                </wp:positionV>
                <wp:extent cx="7543800" cy="2159000"/>
                <wp:effectExtent l="0" t="3175" r="2540" b="0"/>
                <wp:wrapNone/>
                <wp:docPr id="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0"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97B96" w14:textId="53A4365B" w:rsidR="00ED5CDE" w:rsidRDefault="00ED5CDE">
                            <w:pPr>
                              <w:spacing w:before="200" w:after="0" w:line="215" w:lineRule="auto"/>
                              <w:jc w:val="center"/>
                              <w:textDirection w:val="btLr"/>
                            </w:pPr>
                            <w:r>
                              <w:rPr>
                                <w:rFonts w:ascii="Calibri" w:eastAsia="Calibri" w:hAnsi="Calibri" w:cs="Calibri"/>
                                <w:color w:val="FFFFFF"/>
                                <w:sz w:val="64"/>
                              </w:rPr>
                              <w:t>MOOC</w:t>
                            </w:r>
                            <w:r>
                              <w:rPr>
                                <w:rFonts w:ascii="Calibri" w:eastAsia="Calibri" w:hAnsi="Calibri" w:cs="Calibri"/>
                                <w:color w:val="FFFFFF"/>
                                <w:sz w:val="64"/>
                              </w:rPr>
                              <w:br/>
                              <w:t xml:space="preserve">Tendencias </w:t>
                            </w:r>
                            <w:r w:rsidR="001F47B9">
                              <w:rPr>
                                <w:rFonts w:ascii="Calibri" w:eastAsia="Calibri" w:hAnsi="Calibri" w:cs="Calibri"/>
                                <w:color w:val="FFFFFF"/>
                                <w:sz w:val="64"/>
                              </w:rPr>
                              <w:t xml:space="preserve">alternativas </w:t>
                            </w:r>
                            <w:r>
                              <w:rPr>
                                <w:rFonts w:ascii="Calibri" w:eastAsia="Calibri" w:hAnsi="Calibri" w:cs="Calibri"/>
                                <w:color w:val="FFFFFF"/>
                                <w:sz w:val="64"/>
                              </w:rPr>
                              <w:t>en</w:t>
                            </w:r>
                            <w:r>
                              <w:rPr>
                                <w:rFonts w:ascii="Calibri" w:eastAsia="Calibri" w:hAnsi="Calibri" w:cs="Calibri"/>
                                <w:color w:val="FFFFFF"/>
                                <w:sz w:val="64"/>
                              </w:rPr>
                              <w:br/>
                              <w:t>investigación educativa</w:t>
                            </w:r>
                            <w:r w:rsidR="001F47B9">
                              <w:rPr>
                                <w:rFonts w:ascii="Calibri" w:eastAsia="Calibri" w:hAnsi="Calibri" w:cs="Calibri"/>
                                <w:color w:val="FFFFFF"/>
                                <w:sz w:val="64"/>
                              </w:rPr>
                              <w:t xml:space="preserve"> y social</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C63FB" id="Rectángulo 7" o:spid="_x0000_s1028" style="position:absolute;margin-left:-83pt;margin-top:126pt;width:594pt;height:17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" filled="f" stroked="f">
                <v:textbox inset="2.53958mm,1.2694mm,2.53958mm,1.2694mm">
                  <w:txbxContent>
                    <w:p w14:paraId="3A197B96" w14:textId="53A4365B" w:rsidR="00ED5CDE" w:rsidRDefault="00ED5CDE">
                      <w:pPr>
                        <w:spacing w:before="200" w:after="0" w:line="215" w:lineRule="auto"/>
                        <w:jc w:val="center"/>
                        <w:textDirection w:val="btLr"/>
                      </w:pPr>
                      <w:r>
                        <w:rPr>
                          <w:rFonts w:ascii="Calibri" w:eastAsia="Calibri" w:hAnsi="Calibri" w:cs="Calibri"/>
                          <w:color w:val="FFFFFF"/>
                          <w:sz w:val="64"/>
                        </w:rPr>
                        <w:t>MOOC</w:t>
                      </w:r>
                      <w:r>
                        <w:rPr>
                          <w:rFonts w:ascii="Calibri" w:eastAsia="Calibri" w:hAnsi="Calibri" w:cs="Calibri"/>
                          <w:color w:val="FFFFFF"/>
                          <w:sz w:val="64"/>
                        </w:rPr>
                        <w:br/>
                        <w:t xml:space="preserve">Tendencias </w:t>
                      </w:r>
                      <w:r w:rsidR="001F47B9">
                        <w:rPr>
                          <w:rFonts w:ascii="Calibri" w:eastAsia="Calibri" w:hAnsi="Calibri" w:cs="Calibri"/>
                          <w:color w:val="FFFFFF"/>
                          <w:sz w:val="64"/>
                        </w:rPr>
                        <w:t xml:space="preserve">alternativas </w:t>
                      </w:r>
                      <w:r>
                        <w:rPr>
                          <w:rFonts w:ascii="Calibri" w:eastAsia="Calibri" w:hAnsi="Calibri" w:cs="Calibri"/>
                          <w:color w:val="FFFFFF"/>
                          <w:sz w:val="64"/>
                        </w:rPr>
                        <w:t>en</w:t>
                      </w:r>
                      <w:r>
                        <w:rPr>
                          <w:rFonts w:ascii="Calibri" w:eastAsia="Calibri" w:hAnsi="Calibri" w:cs="Calibri"/>
                          <w:color w:val="FFFFFF"/>
                          <w:sz w:val="64"/>
                        </w:rPr>
                        <w:br/>
                        <w:t>investigación educativa</w:t>
                      </w:r>
                      <w:r w:rsidR="001F47B9">
                        <w:rPr>
                          <w:rFonts w:ascii="Calibri" w:eastAsia="Calibri" w:hAnsi="Calibri" w:cs="Calibri"/>
                          <w:color w:val="FFFFFF"/>
                          <w:sz w:val="64"/>
                        </w:rPr>
                        <w:t xml:space="preserve"> y social</w:t>
                      </w:r>
                    </w:p>
                  </w:txbxContent>
                </v:textbox>
                <w10:wrap anchorx="margin"/>
              </v:rect>
            </w:pict>
          </mc:Fallback>
        </mc:AlternateContent>
      </w:r>
    </w:p>
    <w:p w14:paraId="4BB88D8C" w14:textId="77777777" w:rsidR="00CD0C84" w:rsidRDefault="00CD0C84">
      <w:pPr>
        <w:widowControl w:val="0"/>
        <w:spacing w:after="0" w:line="276" w:lineRule="auto"/>
        <w:sectPr w:rsidR="00CD0C84">
          <w:headerReference w:type="default" r:id="rId10"/>
          <w:footerReference w:type="default" r:id="rId11"/>
          <w:pgSz w:w="11906" w:h="16838"/>
          <w:pgMar w:top="1417" w:right="1701" w:bottom="1417" w:left="1701" w:header="0" w:footer="720" w:gutter="0"/>
          <w:pgNumType w:start="1"/>
          <w:cols w:space="720"/>
          <w:titlePg/>
        </w:sectPr>
      </w:pPr>
    </w:p>
    <w:p w14:paraId="021B18DE" w14:textId="77777777" w:rsidR="00CD0C84" w:rsidRDefault="00CD0C84"/>
    <w:p w14:paraId="6AAE65F9" w14:textId="77777777" w:rsidR="00CD0C84" w:rsidRDefault="003B1058">
      <w:pPr>
        <w:rPr>
          <w:b/>
          <w:sz w:val="28"/>
          <w:szCs w:val="28"/>
        </w:rPr>
      </w:pPr>
      <w:bookmarkStart w:id="0" w:name="_gjdgxs" w:colFirst="0" w:colLast="0"/>
      <w:bookmarkEnd w:id="0"/>
      <w:r>
        <w:rPr>
          <w:b/>
          <w:sz w:val="28"/>
          <w:szCs w:val="28"/>
        </w:rPr>
        <w:t>Apartado 2</w:t>
      </w:r>
    </w:p>
    <w:p w14:paraId="3F8B009C" w14:textId="77777777" w:rsidR="00CD0C84" w:rsidRDefault="003B1058" w:rsidP="005D1D2F">
      <w:pPr>
        <w:pStyle w:val="Ttulo1"/>
        <w:spacing w:after="240"/>
      </w:pPr>
      <w:bookmarkStart w:id="1" w:name="_3znysh7" w:colFirst="0" w:colLast="0"/>
      <w:bookmarkEnd w:id="1"/>
      <w:r>
        <w:t>etnografía virtual</w:t>
      </w:r>
    </w:p>
    <w:p w14:paraId="52A343E0" w14:textId="77777777" w:rsidR="00CD0C84" w:rsidRDefault="003B1058">
      <w:pPr>
        <w:spacing w:after="0" w:line="240" w:lineRule="auto"/>
      </w:pPr>
      <w:r>
        <w:t>Adriana Gewerc; Virginia Rodés</w:t>
      </w:r>
    </w:p>
    <w:p w14:paraId="5C6FD518" w14:textId="77777777" w:rsidR="00CD0C84" w:rsidRDefault="003B1058">
      <w:pPr>
        <w:pStyle w:val="Subttulo"/>
        <w:rPr>
          <w:i w:val="0"/>
          <w:color w:val="000000"/>
          <w:sz w:val="24"/>
          <w:szCs w:val="24"/>
        </w:rPr>
      </w:pPr>
      <w:bookmarkStart w:id="2" w:name="_2et92p0" w:colFirst="0" w:colLast="0"/>
      <w:bookmarkEnd w:id="2"/>
      <w:r>
        <w:rPr>
          <w:rFonts w:ascii="Arial" w:eastAsia="Arial" w:hAnsi="Arial" w:cs="Arial"/>
          <w:i w:val="0"/>
          <w:color w:val="000000"/>
          <w:sz w:val="24"/>
          <w:szCs w:val="24"/>
        </w:rPr>
        <w:t>Subapartado 2.1. Etnografía y etnografías virtuales</w:t>
      </w:r>
    </w:p>
    <w:p w14:paraId="494EE910" w14:textId="77777777" w:rsidR="00CD0C84" w:rsidRDefault="003B1058">
      <w:pPr>
        <w:jc w:val="both"/>
      </w:pPr>
      <w:r>
        <w:t>Hablar de etnografía implica movilizar una serie de imágenes vinculadas a la presencia del etnógrafo en</w:t>
      </w:r>
      <w:r w:rsidR="00433BB5">
        <w:t xml:space="preserve"> el campo, a sus observaciones </w:t>
      </w:r>
      <w:r>
        <w:t>y registros, a la manera de interactuar y dialogar con los actores… a un investigador que explora las culturas primitivas</w:t>
      </w:r>
      <w:r w:rsidR="00C165B3">
        <w:t xml:space="preserve"> o exóticas</w:t>
      </w:r>
      <w:r>
        <w:t>.</w:t>
      </w:r>
    </w:p>
    <w:p w14:paraId="734FE180" w14:textId="77777777" w:rsidR="00CD0C84" w:rsidRDefault="003B1058">
      <w:pPr>
        <w:jc w:val="both"/>
      </w:pPr>
      <w:r>
        <w:t>Sin embargo, esta idea ha ido evolucionando y, poco a poco, la investigación antropológica comenzó a aproximarse a culturas “conocidas” para comprenderlas. Así</w:t>
      </w:r>
      <w:r w:rsidR="005D1D2F">
        <w:t>,</w:t>
      </w:r>
      <w:r>
        <w:t xml:space="preserve"> por ejemplo, comenzaron a ser</w:t>
      </w:r>
      <w:r w:rsidR="0072157D">
        <w:t xml:space="preserve"> objeto de estudio,</w:t>
      </w:r>
      <w:r>
        <w:t xml:space="preserve"> las tribus urbanas, o la realidad rural occidental, las escuelas y las aulas, las prácticas sociales en contextos virtuales, etc. </w:t>
      </w:r>
      <w:r w:rsidR="0072157D">
        <w:t xml:space="preserve">Lo que llevó a nuevas preguntas: </w:t>
      </w:r>
      <w:r>
        <w:t xml:space="preserve">¿Es posible hablar de etnografía cuando las localizaciones se refieren a espacios virtuales? ¿Qué condiciones impone el mundo digital a la investigación etnográfica? </w:t>
      </w:r>
    </w:p>
    <w:p w14:paraId="5A8AF1C5" w14:textId="77777777" w:rsidR="00CD0C84" w:rsidRDefault="003B1058">
      <w:pPr>
        <w:jc w:val="both"/>
      </w:pPr>
      <w:r>
        <w:t xml:space="preserve">Aludir a la etnografía supone dar cuenta de su triple acepción de enfoque, método y texto (Guber, 2001:12). El enfoque etnográfico es una estrategia cualitativa de investigación social vinculada específicamente a la tradición antropológica de la ciencia social (Creswell, 1998:58). El etnógrafo participa, de la vida cotidiana de personas durante un tiempo, para poder arrojar luz sobre los temas que ha elegido estudiar.  En muchos sentidos la etnografía </w:t>
      </w:r>
      <w:r w:rsidR="005B00F8">
        <w:t>ha estado en la agenda</w:t>
      </w:r>
      <w:r>
        <w:t xml:space="preserve"> de</w:t>
      </w:r>
      <w:r w:rsidR="005B00F8">
        <w:t xml:space="preserve"> la</w:t>
      </w:r>
      <w:r>
        <w:t xml:space="preserve"> investigación social</w:t>
      </w:r>
      <w:r w:rsidR="005B00F8">
        <w:t xml:space="preserve"> ayudando a contar historias sociales</w:t>
      </w:r>
      <w:r>
        <w:t xml:space="preserve"> (Hammersley y Atkinsom, 1994:15)</w:t>
      </w:r>
    </w:p>
    <w:p w14:paraId="1F69FF97" w14:textId="77777777" w:rsidR="00CD0C84" w:rsidRDefault="003B1058">
      <w:pPr>
        <w:jc w:val="both"/>
      </w:pPr>
      <w:r>
        <w:t xml:space="preserve">Describe la </w:t>
      </w:r>
      <w:r w:rsidR="005B00F8">
        <w:t>vida social</w:t>
      </w:r>
      <w:r>
        <w:t xml:space="preserve">. Tiende a comprender otra forma de vida desde el punto de vista de los que </w:t>
      </w:r>
      <w:r w:rsidR="00965CE7">
        <w:t xml:space="preserve">la </w:t>
      </w:r>
      <w:r>
        <w:t xml:space="preserve">viven. Más que estudiar a la gente, significa aprender de la gente. Se preocupa por captar el significado de las acciones y los sucesos para la gente que tratamos de comprender (Sprandley, 1989:3). </w:t>
      </w:r>
    </w:p>
    <w:p w14:paraId="407F0259" w14:textId="77777777" w:rsidR="00CD0C84" w:rsidRDefault="003B1058">
      <w:pPr>
        <w:jc w:val="both"/>
      </w:pPr>
      <w:r>
        <w:t>Es también un mét</w:t>
      </w:r>
      <w:r w:rsidR="00965CE7">
        <w:t>odo abierto de investigación de campo</w:t>
      </w:r>
      <w:r>
        <w:t>, cuyo resultado se emplea como evidencia para la descripción</w:t>
      </w:r>
      <w:r w:rsidR="00965CE7">
        <w:t xml:space="preserve"> detallada</w:t>
      </w:r>
      <w:r>
        <w:t xml:space="preserve">. </w:t>
      </w:r>
      <w:r w:rsidR="00965CE7">
        <w:t>El investigador se aproxima a una</w:t>
      </w:r>
      <w:r>
        <w:t xml:space="preserve"> realidad para conocerla y se propone describir</w:t>
      </w:r>
      <w:r w:rsidR="00965CE7">
        <w:t xml:space="preserve">la e </w:t>
      </w:r>
      <w:r w:rsidR="00C46046">
        <w:t>interpretarla</w:t>
      </w:r>
      <w:r>
        <w:t xml:space="preserve">. </w:t>
      </w:r>
      <w:r>
        <w:lastRenderedPageBreak/>
        <w:t>Para luego transformarla en texto. Documentando lo no documentado (Rokwell, 1985)</w:t>
      </w:r>
    </w:p>
    <w:p w14:paraId="6389D68A" w14:textId="77777777" w:rsidR="00CD0C84" w:rsidRDefault="003B1058">
      <w:pPr>
        <w:jc w:val="both"/>
      </w:pPr>
      <w:r>
        <w:t xml:space="preserve">Con la irrupción de las tecnologías de la información y la comunicación en el contexto socio-cultural en que vivimos, las historias aún siguen vivas, pero ha cambiado tanto el tipo de historias como las vías por las que las contamos. </w:t>
      </w:r>
    </w:p>
    <w:p w14:paraId="39F84D8A" w14:textId="77777777" w:rsidR="00CD0C84" w:rsidRDefault="003B1058">
      <w:pPr>
        <w:jc w:val="both"/>
      </w:pPr>
      <w:r>
        <w:t xml:space="preserve"> Al mismo tiempo, todo esto la ha interpelado en el replanteamiento de conceptos que son de su </w:t>
      </w:r>
      <w:r w:rsidR="005B00F8">
        <w:t>tradición</w:t>
      </w:r>
      <w:r>
        <w:t xml:space="preserve">, como por ejemplo, el trabajo de campo, que implica ir a un lugar, aquel en el que los actores sociales despliegan su vida, donde se encuentran e interactúan en donde se generan y producen situaciones y acontecimientos que demandan nuestra atención. </w:t>
      </w:r>
    </w:p>
    <w:p w14:paraId="05C38612" w14:textId="77777777" w:rsidR="00CD0C84" w:rsidRDefault="003B1058">
      <w:pPr>
        <w:jc w:val="both"/>
      </w:pPr>
      <w:r>
        <w:t xml:space="preserve">El campo conforma un ámbito en el que interactúan sujetos, se comparten significados y se explicitan múltiples prácticas sociales y simbólicas. Donde se construye el conocimiento etnográfico como el conocimiento localmente situado y resultado de un diálogo entre individuos y culturas. No se trata de ir a un lugar, sino que también implica una manera de estar y una forma de posicionarse. Pero, ¿cuál es el campo cuando se están analizando las culturas que participan y el modo en que lo hacen en una red social, o en un foro público, es decir, ¿qué sucede cuando se hace investigación social en un entorno que ha desdibujado los ejes cartesianos clásicos?  </w:t>
      </w:r>
    </w:p>
    <w:p w14:paraId="38FB1956" w14:textId="77777777" w:rsidR="00CD0C84" w:rsidRDefault="003B1058">
      <w:pPr>
        <w:jc w:val="both"/>
      </w:pPr>
      <w:r>
        <w:t xml:space="preserve">La ubicuidad de estas nuevas tecnologías posibilita que no solamente sean utilizadas como mediadoras de los datos, grabando entrevistas, por ejemplo, sino que han </w:t>
      </w:r>
      <w:r w:rsidR="00C44F65">
        <w:t>facilitado</w:t>
      </w:r>
      <w:r>
        <w:t xml:space="preserve"> también la posibilidad de ampliar los horizontes de la investigación y llegar a sitios que de otro modo sería imposible o muy difícil. Con las webcams o videoconferencias, o web cuestionarios, e-mail entrevistas, etc. </w:t>
      </w:r>
    </w:p>
    <w:p w14:paraId="1407C5F2" w14:textId="77777777" w:rsidR="00CD0C84" w:rsidRPr="00433BB5" w:rsidRDefault="003B1058" w:rsidP="00433BB5">
      <w:pPr>
        <w:pStyle w:val="Subttulo"/>
        <w:spacing w:after="0"/>
        <w:jc w:val="both"/>
        <w:rPr>
          <w:rFonts w:ascii="Arial" w:eastAsia="Arial" w:hAnsi="Arial" w:cs="Arial"/>
          <w:i w:val="0"/>
          <w:color w:val="000000"/>
          <w:sz w:val="24"/>
          <w:szCs w:val="24"/>
        </w:rPr>
      </w:pPr>
      <w:bookmarkStart w:id="3" w:name="_tyjcwt" w:colFirst="0" w:colLast="0"/>
      <w:bookmarkEnd w:id="3"/>
      <w:r>
        <w:rPr>
          <w:rFonts w:ascii="Arial" w:eastAsia="Arial" w:hAnsi="Arial" w:cs="Arial"/>
          <w:i w:val="0"/>
          <w:color w:val="000000"/>
          <w:sz w:val="24"/>
          <w:szCs w:val="24"/>
        </w:rPr>
        <w:t>Subapartado 2.2 Breve recorrido por la evolución de la etnografía virtual</w:t>
      </w:r>
    </w:p>
    <w:p w14:paraId="09419641" w14:textId="77777777" w:rsidR="00CD0C84" w:rsidRDefault="003B1058" w:rsidP="00433BB5">
      <w:pPr>
        <w:spacing w:before="240"/>
        <w:jc w:val="both"/>
      </w:pPr>
      <w:r>
        <w:t>La etnografía virtual se desarrolla prácticamente a la par del surgimiento de Internet y la exploración de sus significados y usos en la década del 90, a finales del siglo XX. Hine (2000) planteaba una serie de preguntas estructurantes de esas primeras aproximaciones al campo, como</w:t>
      </w:r>
      <w:r w:rsidR="00E626C9">
        <w:t>,</w:t>
      </w:r>
      <w:r>
        <w:t xml:space="preserve"> por ejemplo: </w:t>
      </w:r>
      <w:r w:rsidR="00C44F65">
        <w:t>¿</w:t>
      </w:r>
      <w:r>
        <w:t xml:space="preserve">cómo entienden los usuarios de internet sus capacidades? </w:t>
      </w:r>
      <w:r w:rsidR="00C44F65">
        <w:t>¿</w:t>
      </w:r>
      <w:r>
        <w:t xml:space="preserve">qué significados tienen esos usos para ellos? </w:t>
      </w:r>
      <w:r w:rsidR="00C44F65">
        <w:t>¿</w:t>
      </w:r>
      <w:r>
        <w:t xml:space="preserve">cómo entienden su capacidad como medio de comunicación y cómo perciben que debe ser su recepción? </w:t>
      </w:r>
      <w:r w:rsidR="00C44F65">
        <w:t>¿</w:t>
      </w:r>
      <w:r>
        <w:t xml:space="preserve">cómo afecta Internet a la organización de las relaciones sociales en tiempo y espacio? </w:t>
      </w:r>
      <w:r w:rsidR="00C44F65">
        <w:t>¿</w:t>
      </w:r>
      <w:r>
        <w:t xml:space="preserve">es </w:t>
      </w:r>
      <w:r>
        <w:lastRenderedPageBreak/>
        <w:t>ésta diferente a los modos en que la "vida real" se organiza, y s</w:t>
      </w:r>
      <w:r w:rsidR="00433BB5">
        <w:t>i es así, cómo concilian los</w:t>
      </w:r>
      <w:r>
        <w:t xml:space="preserve"> usuarios ambos mundos? Entre los problemas que comenzaban a emerger y a ser abordados con enfoques etnográficos</w:t>
      </w:r>
      <w:r w:rsidR="00C44F65">
        <w:t xml:space="preserve"> virtuales</w:t>
      </w:r>
      <w:r>
        <w:t xml:space="preserve"> aparecen el ciber-sexo y el ciber-romance, las comunidades virtuales, </w:t>
      </w:r>
      <w:r w:rsidR="00C44F65">
        <w:t xml:space="preserve">los </w:t>
      </w:r>
      <w:r>
        <w:t>mundos digitales, el ciber activismo, la religión en línea y el tecno espiritualismo (Robin Hamman, 1997).</w:t>
      </w:r>
    </w:p>
    <w:p w14:paraId="342DFE13" w14:textId="77777777" w:rsidR="00CD0C84" w:rsidRDefault="003B1058">
      <w:pPr>
        <w:jc w:val="both"/>
      </w:pPr>
      <w:r>
        <w:t>Una década después, entrados ya en el siglo XXI, Domínguez et al. (2007) enumeran los términos etnografía virtual, etnografía en/a través de internet, etnografía conectiva, etnografía de la red, ciber-etnografía, etc., como términos que se han empleado para dar cuenta de este campo emergente de la investigación cualitativa. Plantean que las posturas oscilan desde considerar a la etnografía virtual una nueva forma de etnografía hasta quienes no le otorgan ninguna especificidad. Se trataba entonces de espacio de experimentación y construcción de un corpus de prácticas que suponían retos metodológicos derivados del proceso de cambio social hacia la digitalización de la vida cotidiana que se estaba experimentando. También van surgiendo las primeras reflexiones sobre las metodologías de investigación en línea y sobre los problemas éticos vinculados al abordaje etnográfico en estos nuevos contextos. Se observan nuevos métodos que integran la propia internet como campo y herramienta (Fielding, Lee</w:t>
      </w:r>
      <w:r w:rsidR="00E626C9">
        <w:t xml:space="preserve"> y </w:t>
      </w:r>
      <w:r>
        <w:t>Blank, 2008).</w:t>
      </w:r>
    </w:p>
    <w:p w14:paraId="6378FD29" w14:textId="77777777" w:rsidR="00CD0C84" w:rsidRDefault="003B1058">
      <w:pPr>
        <w:jc w:val="both"/>
      </w:pPr>
      <w:r>
        <w:t xml:space="preserve">Este breve recorrido demuestra que esta aproximación no es nueva, sino que se trata de un consolidado campo de prácticas, a la vez que un corpus en continua transformación acompasado por la rápida evolución de su objeto de estudio, </w:t>
      </w:r>
      <w:r w:rsidR="00C44F65">
        <w:t xml:space="preserve">los </w:t>
      </w:r>
      <w:r>
        <w:t xml:space="preserve">materiales y </w:t>
      </w:r>
      <w:r w:rsidR="00C44F65">
        <w:t xml:space="preserve">los </w:t>
      </w:r>
      <w:r>
        <w:t>métodos.</w:t>
      </w:r>
    </w:p>
    <w:p w14:paraId="3394FB11" w14:textId="77777777" w:rsidR="00CD0C84" w:rsidRDefault="003B1058">
      <w:pPr>
        <w:jc w:val="both"/>
      </w:pPr>
      <w:r>
        <w:t>En conclusión, l</w:t>
      </w:r>
      <w:r w:rsidR="00C44F65">
        <w:t xml:space="preserve">a etnografía digital trata de </w:t>
      </w:r>
      <w:r>
        <w:t>aprovechar las potencialidades que las tecnologías nos están ofreciendo para proyectar con mayor profundidad el conocimiento sobre la realidad en la sociedad contemporánea, tanto en lo que respecta a la definición del propio objeto de conocimiento como al diseño metodológico para acceder al mismo.</w:t>
      </w:r>
    </w:p>
    <w:p w14:paraId="3849C435" w14:textId="10B67AAD" w:rsidR="00CD0C84" w:rsidRDefault="003B1058" w:rsidP="005D1D2F">
      <w:pPr>
        <w:spacing w:after="0" w:line="240" w:lineRule="auto"/>
        <w:jc w:val="both"/>
      </w:pPr>
      <w:bookmarkStart w:id="4" w:name="_3dy6vkm" w:colFirst="0" w:colLast="0"/>
      <w:bookmarkEnd w:id="4"/>
      <w:r w:rsidRPr="005D1D2F">
        <w:rPr>
          <w:highlight w:val="white"/>
        </w:rPr>
        <w:t>.</w:t>
      </w:r>
    </w:p>
    <w:p w14:paraId="47C82EDA" w14:textId="66362D02" w:rsidR="001F47B9" w:rsidRDefault="001F47B9" w:rsidP="005D1D2F">
      <w:pPr>
        <w:spacing w:after="0" w:line="240" w:lineRule="auto"/>
        <w:jc w:val="both"/>
      </w:pPr>
    </w:p>
    <w:p w14:paraId="38B33E4D" w14:textId="77777777" w:rsidR="001F47B9" w:rsidRPr="00D7440B" w:rsidRDefault="001F47B9" w:rsidP="001F47B9">
      <w:pPr>
        <w:rPr>
          <w:b/>
        </w:rPr>
      </w:pPr>
      <w:r w:rsidRPr="00D7440B">
        <w:rPr>
          <w:b/>
        </w:rPr>
        <w:t xml:space="preserve">Bibliografía recomendada </w:t>
      </w:r>
    </w:p>
    <w:p w14:paraId="4F69D1D6" w14:textId="77777777" w:rsidR="001F47B9" w:rsidRDefault="001F47B9" w:rsidP="001F47B9">
      <w:pPr>
        <w:spacing w:after="0" w:line="276" w:lineRule="auto"/>
        <w:rPr>
          <w:b/>
          <w:sz w:val="22"/>
          <w:szCs w:val="22"/>
          <w:highlight w:val="white"/>
        </w:rPr>
      </w:pPr>
      <w:bookmarkStart w:id="5" w:name="_GoBack"/>
      <w:bookmarkEnd w:id="5"/>
    </w:p>
    <w:p w14:paraId="110448DB" w14:textId="1B7C9272" w:rsidR="00B20077" w:rsidRPr="00B20077" w:rsidRDefault="00B20077" w:rsidP="00B20077">
      <w:pPr>
        <w:ind w:left="567" w:hanging="567"/>
        <w:jc w:val="both"/>
        <w:rPr>
          <w:lang w:val="it-IT"/>
        </w:rPr>
      </w:pPr>
      <w:r>
        <w:t>Ardè</w:t>
      </w:r>
      <w:r w:rsidR="001F47B9">
        <w:t>vo</w:t>
      </w:r>
      <w:r>
        <w:t>l</w:t>
      </w:r>
      <w:r w:rsidR="001F47B9">
        <w:t xml:space="preserve">, E., Estaella, A. y </w:t>
      </w:r>
      <w:r>
        <w:t xml:space="preserve"> Dominguez; D.  (Dir.) (2008). </w:t>
      </w:r>
      <w:r w:rsidR="001F47B9">
        <w:t xml:space="preserve">La mediación tecnológica en la práctica tecnológica. </w:t>
      </w:r>
      <w:r w:rsidR="001F47B9" w:rsidRPr="00B20077">
        <w:rPr>
          <w:i/>
        </w:rPr>
        <w:t xml:space="preserve">Actas del XI Congreso de </w:t>
      </w:r>
      <w:r w:rsidR="001F47B9" w:rsidRPr="00B20077">
        <w:rPr>
          <w:i/>
        </w:rPr>
        <w:lastRenderedPageBreak/>
        <w:t>Antropología</w:t>
      </w:r>
      <w:r w:rsidR="001F47B9">
        <w:t>. País</w:t>
      </w:r>
      <w:r w:rsidR="001F47B9" w:rsidRPr="00B20077">
        <w:rPr>
          <w:lang w:val="it-IT"/>
        </w:rPr>
        <w:t xml:space="preserve"> Vasco. ANKULEGI antropologia elkartea. </w:t>
      </w:r>
      <w:r w:rsidRPr="007775D3">
        <w:rPr>
          <w:lang w:val="es-AR"/>
        </w:rPr>
        <w:t xml:space="preserve">Recuperado de </w:t>
      </w:r>
      <w:hyperlink r:id="rId12" w:history="1">
        <w:r w:rsidRPr="00B87DD1">
          <w:rPr>
            <w:rStyle w:val="Hipervnculo"/>
            <w:lang w:val="it-IT"/>
          </w:rPr>
          <w:t>https://www.ankulegi.org/5-la-mediacion-tecnologica-en-la-practica-etnografica/</w:t>
        </w:r>
      </w:hyperlink>
      <w:r>
        <w:rPr>
          <w:lang w:val="it-IT"/>
        </w:rPr>
        <w:t xml:space="preserve"> </w:t>
      </w:r>
    </w:p>
    <w:p w14:paraId="2C1B4300" w14:textId="77777777" w:rsidR="00FE4A3A" w:rsidRDefault="00FE4A3A" w:rsidP="003E3E14">
      <w:pPr>
        <w:jc w:val="both"/>
        <w:rPr>
          <w:rFonts w:ascii="Georgia" w:eastAsia="Georgia" w:hAnsi="Georgia" w:cs="Georgia"/>
          <w:b/>
          <w:i/>
          <w:color w:val="666666"/>
          <w:sz w:val="28"/>
          <w:szCs w:val="28"/>
        </w:rPr>
      </w:pPr>
      <w:bookmarkStart w:id="6" w:name="_26in1rg" w:colFirst="0" w:colLast="0"/>
      <w:bookmarkStart w:id="7" w:name="_lnxbz9" w:colFirst="0" w:colLast="0"/>
      <w:bookmarkEnd w:id="6"/>
      <w:bookmarkEnd w:id="7"/>
    </w:p>
    <w:p w14:paraId="23EF9B3A" w14:textId="4D25542E" w:rsidR="00CD0C84" w:rsidRPr="003E3E14" w:rsidRDefault="003B1058" w:rsidP="003E3E14">
      <w:pPr>
        <w:jc w:val="both"/>
        <w:rPr>
          <w:b/>
          <w:sz w:val="28"/>
          <w:szCs w:val="28"/>
        </w:rPr>
      </w:pPr>
      <w:r>
        <w:rPr>
          <w:b/>
          <w:sz w:val="28"/>
          <w:szCs w:val="28"/>
        </w:rPr>
        <w:t>Bibliografía</w:t>
      </w:r>
    </w:p>
    <w:p w14:paraId="3A22C4DB" w14:textId="77777777" w:rsidR="00CD0C84" w:rsidRPr="00950E1E" w:rsidRDefault="003B1058" w:rsidP="003E3E14">
      <w:pPr>
        <w:spacing w:after="0"/>
        <w:ind w:left="720" w:hanging="720"/>
        <w:jc w:val="both"/>
        <w:rPr>
          <w:lang w:val="en-US"/>
        </w:rPr>
      </w:pPr>
      <w:r w:rsidRPr="00C23016">
        <w:t>Ardévol, E.</w:t>
      </w:r>
      <w:r w:rsidR="00E626C9">
        <w:t xml:space="preserve"> y </w:t>
      </w:r>
      <w:r w:rsidRPr="00C23016">
        <w:t xml:space="preserve">Gómez-Cruz, E. (2012). </w:t>
      </w:r>
      <w:r w:rsidRPr="005B00F8">
        <w:rPr>
          <w:lang w:val="en-US"/>
        </w:rPr>
        <w:t xml:space="preserve">Digital Ethnography and Media Practices. </w:t>
      </w:r>
      <w:r w:rsidRPr="003E3E14">
        <w:rPr>
          <w:lang w:val="en-US"/>
        </w:rPr>
        <w:t xml:space="preserve">En The International Encyclopedia of Media Studies. John Wiley &amp; Sons, Ltd. </w:t>
      </w:r>
      <w:r w:rsidRPr="00950E1E">
        <w:rPr>
          <w:lang w:val="en-US"/>
        </w:rPr>
        <w:t>Recuperado de http://onlinelibrary.wiley.com/doi/10.1002/9781444361506.wbiems193/abstract</w:t>
      </w:r>
    </w:p>
    <w:p w14:paraId="62E6D5A8" w14:textId="77777777" w:rsidR="00CD0C84" w:rsidRPr="003E3E14" w:rsidRDefault="00702886" w:rsidP="003E3E14">
      <w:pPr>
        <w:spacing w:after="0" w:line="276" w:lineRule="auto"/>
        <w:ind w:left="720" w:hanging="720"/>
        <w:jc w:val="both"/>
        <w:rPr>
          <w:highlight w:val="white"/>
          <w:u w:val="single"/>
          <w:lang w:val="en-US"/>
        </w:rPr>
      </w:pPr>
      <w:r w:rsidRPr="00E071C7">
        <w:rPr>
          <w:lang w:val="en-US"/>
        </w:rPr>
        <w:t>Atkinson, D.</w:t>
      </w:r>
      <w:r w:rsidR="003B1058" w:rsidRPr="00E071C7">
        <w:rPr>
          <w:lang w:val="en-US"/>
        </w:rPr>
        <w:t xml:space="preserve"> (2012). </w:t>
      </w:r>
      <w:r w:rsidR="003B1058" w:rsidRPr="003E3E14">
        <w:rPr>
          <w:lang w:val="en-US"/>
        </w:rPr>
        <w:t xml:space="preserve">Contemporary Art and Art in Education: The New, Emancipation and Truth. </w:t>
      </w:r>
      <w:r w:rsidR="003B1058" w:rsidRPr="003E3E14">
        <w:rPr>
          <w:i/>
          <w:lang w:val="en-US"/>
        </w:rPr>
        <w:t>The International Journal of Art &amp; Design Education (iJADE), 31(1)</w:t>
      </w:r>
      <w:r w:rsidR="003B1058" w:rsidRPr="003E3E14">
        <w:rPr>
          <w:lang w:val="en-US"/>
        </w:rPr>
        <w:t xml:space="preserve">, 5-18. </w:t>
      </w:r>
      <w:r w:rsidR="003B1058" w:rsidRPr="003E3E14">
        <w:rPr>
          <w:highlight w:val="white"/>
          <w:lang w:val="en-US"/>
        </w:rPr>
        <w:t xml:space="preserve">Recuperado </w:t>
      </w:r>
      <w:r w:rsidR="003E3E14">
        <w:rPr>
          <w:highlight w:val="white"/>
          <w:lang w:val="en-US"/>
        </w:rPr>
        <w:t>de</w:t>
      </w:r>
      <w:r w:rsidR="003B1058" w:rsidRPr="003E3E14">
        <w:rPr>
          <w:highlight w:val="white"/>
          <w:lang w:val="en-US"/>
        </w:rPr>
        <w:t>:</w:t>
      </w:r>
      <w:hyperlink r:id="rId13">
        <w:r w:rsidR="003B1058" w:rsidRPr="003E3E14">
          <w:rPr>
            <w:highlight w:val="white"/>
            <w:lang w:val="en-US"/>
          </w:rPr>
          <w:t xml:space="preserve"> </w:t>
        </w:r>
      </w:hyperlink>
      <w:hyperlink r:id="rId14">
        <w:r w:rsidR="003B1058" w:rsidRPr="003E3E14">
          <w:rPr>
            <w:highlight w:val="white"/>
            <w:u w:val="single"/>
            <w:lang w:val="en-US"/>
          </w:rPr>
          <w:t>http://onlinelibrary.wiley.com/doi/10.1111/j.1476-8070.2012.01724.x/epdf</w:t>
        </w:r>
      </w:hyperlink>
    </w:p>
    <w:p w14:paraId="22088D92" w14:textId="77777777" w:rsidR="00CD0C84" w:rsidRPr="003E3E14" w:rsidRDefault="003B1058" w:rsidP="003E3E14">
      <w:pPr>
        <w:spacing w:after="0"/>
        <w:ind w:left="720" w:hanging="720"/>
        <w:jc w:val="both"/>
        <w:rPr>
          <w:lang w:val="en-US"/>
        </w:rPr>
      </w:pPr>
      <w:r w:rsidRPr="003E3E14">
        <w:rPr>
          <w:lang w:val="en-US"/>
        </w:rPr>
        <w:t>Creswell, J. (1998): Qualitative Inquiry and Reseach Desing. Choosing among five Traditions. Londres, Sage</w:t>
      </w:r>
    </w:p>
    <w:p w14:paraId="56805B37" w14:textId="77777777" w:rsidR="00CD0C84" w:rsidRPr="003E3E14" w:rsidRDefault="003B1058" w:rsidP="003E3E14">
      <w:pPr>
        <w:spacing w:after="0" w:line="276" w:lineRule="auto"/>
        <w:ind w:left="720" w:hanging="720"/>
        <w:jc w:val="both"/>
        <w:rPr>
          <w:lang w:val="en-US"/>
        </w:rPr>
      </w:pPr>
      <w:r w:rsidRPr="007775D3">
        <w:rPr>
          <w:lang w:val="en-US"/>
        </w:rPr>
        <w:t xml:space="preserve">Denzin N. K.  </w:t>
      </w:r>
      <w:r w:rsidR="00850650" w:rsidRPr="007775D3">
        <w:rPr>
          <w:lang w:val="en-US"/>
        </w:rPr>
        <w:t>y</w:t>
      </w:r>
      <w:r w:rsidR="00DF1EB5" w:rsidRPr="007775D3">
        <w:rPr>
          <w:lang w:val="en-US"/>
        </w:rPr>
        <w:t xml:space="preserve"> </w:t>
      </w:r>
      <w:r w:rsidRPr="007775D3">
        <w:rPr>
          <w:lang w:val="en-US"/>
        </w:rPr>
        <w:t xml:space="preserve">Lincoln, Y. S. (Eds.), (1994). </w:t>
      </w:r>
      <w:r w:rsidRPr="003E3E14">
        <w:rPr>
          <w:i/>
          <w:lang w:val="en-US"/>
        </w:rPr>
        <w:t>Handbook of qualitative research</w:t>
      </w:r>
      <w:r w:rsidRPr="003E3E14">
        <w:rPr>
          <w:lang w:val="en-US"/>
        </w:rPr>
        <w:t xml:space="preserve"> (1st ed.). Thousand Oaks, CA: Sage.</w:t>
      </w:r>
    </w:p>
    <w:p w14:paraId="15383BBA" w14:textId="77777777" w:rsidR="00497CAB" w:rsidRPr="003E3E14" w:rsidRDefault="00497CAB" w:rsidP="003E3E14">
      <w:pPr>
        <w:spacing w:after="0"/>
        <w:ind w:left="720" w:hanging="720"/>
        <w:jc w:val="both"/>
        <w:rPr>
          <w:lang w:val="en-US"/>
        </w:rPr>
      </w:pPr>
      <w:r>
        <w:rPr>
          <w:lang w:val="en-US"/>
        </w:rPr>
        <w:t>Domínguez, D., Beaulieu, A., Estalella, A., Gómez, E., Schnettler, B., y Read, R.</w:t>
      </w:r>
      <w:r w:rsidRPr="00497CAB">
        <w:rPr>
          <w:lang w:val="en-US"/>
        </w:rPr>
        <w:t xml:space="preserve"> (2007). Virtuelle Ethnografie. </w:t>
      </w:r>
      <w:r w:rsidRPr="005B00F8">
        <w:rPr>
          <w:rStyle w:val="fqscharitalic"/>
          <w:i/>
          <w:lang w:val="en-US"/>
        </w:rPr>
        <w:t>Forum Qualitative Sozialforschung / Forum: Qualitative Social Research</w:t>
      </w:r>
      <w:r w:rsidRPr="005B00F8">
        <w:rPr>
          <w:i/>
          <w:lang w:val="en-US"/>
        </w:rPr>
        <w:t xml:space="preserve">, </w:t>
      </w:r>
      <w:r w:rsidRPr="005B00F8">
        <w:rPr>
          <w:rStyle w:val="fqscharitalic"/>
          <w:i/>
          <w:lang w:val="en-US"/>
        </w:rPr>
        <w:t>8</w:t>
      </w:r>
      <w:r w:rsidRPr="005B00F8">
        <w:rPr>
          <w:i/>
          <w:lang w:val="en-US"/>
        </w:rPr>
        <w:t>(3),</w:t>
      </w:r>
      <w:r w:rsidRPr="005B00F8">
        <w:rPr>
          <w:lang w:val="en-US"/>
        </w:rPr>
        <w:t xml:space="preserve"> </w:t>
      </w:r>
      <w:hyperlink r:id="rId15" w:history="1">
        <w:r w:rsidRPr="005B00F8">
          <w:rPr>
            <w:rStyle w:val="Hipervnculo"/>
            <w:lang w:val="en-US"/>
          </w:rPr>
          <w:t>http://nbn-resolving.de/urn:nbn:de:0114-fqs0703E19</w:t>
        </w:r>
      </w:hyperlink>
      <w:r w:rsidRPr="005B00F8">
        <w:rPr>
          <w:lang w:val="en-US"/>
        </w:rPr>
        <w:t>.</w:t>
      </w:r>
    </w:p>
    <w:p w14:paraId="37553618" w14:textId="438D02E2" w:rsidR="00CD0C84" w:rsidRPr="003E3E14" w:rsidRDefault="003B1058" w:rsidP="003E3E14">
      <w:pPr>
        <w:spacing w:after="0"/>
        <w:ind w:left="720" w:hanging="720"/>
        <w:jc w:val="both"/>
      </w:pPr>
      <w:r w:rsidRPr="003E3E14">
        <w:t xml:space="preserve">. </w:t>
      </w:r>
    </w:p>
    <w:p w14:paraId="449BA02E" w14:textId="77777777" w:rsidR="00CD0C84" w:rsidRPr="003E3E14" w:rsidRDefault="00DF1EB5" w:rsidP="003E3E14">
      <w:pPr>
        <w:spacing w:after="0"/>
        <w:ind w:left="720" w:hanging="720"/>
        <w:jc w:val="both"/>
      </w:pPr>
      <w:r>
        <w:t xml:space="preserve">Guber, R. (1991). </w:t>
      </w:r>
      <w:r w:rsidR="003B1058" w:rsidRPr="00DF1EB5">
        <w:rPr>
          <w:i/>
        </w:rPr>
        <w:t>El salvaje metropolitano</w:t>
      </w:r>
      <w:r w:rsidR="003B1058" w:rsidRPr="003E3E14">
        <w:t>. Buenos Aires. Legasa</w:t>
      </w:r>
    </w:p>
    <w:p w14:paraId="215CD017" w14:textId="77777777" w:rsidR="00CD0C84" w:rsidRPr="003E3E14" w:rsidRDefault="00DF1EB5" w:rsidP="003E3E14">
      <w:pPr>
        <w:spacing w:after="0"/>
        <w:ind w:left="720" w:hanging="720"/>
        <w:jc w:val="both"/>
      </w:pPr>
      <w:r>
        <w:t xml:space="preserve">Guber, R. (2001). </w:t>
      </w:r>
      <w:r w:rsidR="003B1058" w:rsidRPr="00DF1EB5">
        <w:rPr>
          <w:i/>
        </w:rPr>
        <w:t>La etnografía</w:t>
      </w:r>
      <w:r>
        <w:t xml:space="preserve">. Buenos aires: </w:t>
      </w:r>
      <w:r w:rsidR="003B1058" w:rsidRPr="003E3E14">
        <w:t xml:space="preserve"> Norma</w:t>
      </w:r>
    </w:p>
    <w:p w14:paraId="00A7D1DC" w14:textId="77777777" w:rsidR="00CD0C84" w:rsidRPr="00DF1EB5" w:rsidRDefault="003E3E14" w:rsidP="003E3E14">
      <w:pPr>
        <w:spacing w:after="0"/>
        <w:ind w:left="720" w:hanging="720"/>
        <w:jc w:val="both"/>
      </w:pPr>
      <w:r>
        <w:t>Hamman</w:t>
      </w:r>
      <w:r w:rsidR="003B1058" w:rsidRPr="003E3E14">
        <w:t xml:space="preserve">, R (1997). Cybersociology Magazine [Revista en línea]. </w:t>
      </w:r>
      <w:r w:rsidR="00DF1EB5" w:rsidRPr="00DF1EB5">
        <w:t xml:space="preserve">Disponible </w:t>
      </w:r>
      <w:r w:rsidR="003B1058" w:rsidRPr="00DF1EB5">
        <w:t>e</w:t>
      </w:r>
      <w:r w:rsidR="00DF1EB5" w:rsidRPr="00DF1EB5">
        <w:t>n:</w:t>
      </w:r>
      <w:r w:rsidR="003B1058" w:rsidRPr="00DF1EB5">
        <w:t xml:space="preserve"> </w:t>
      </w:r>
      <w:hyperlink r:id="rId16">
        <w:r w:rsidR="003B1058" w:rsidRPr="00DF1EB5">
          <w:rPr>
            <w:color w:val="1155CC"/>
            <w:u w:val="single"/>
          </w:rPr>
          <w:t>http://www.cybersociology.com/</w:t>
        </w:r>
      </w:hyperlink>
    </w:p>
    <w:p w14:paraId="412A8DAF" w14:textId="77777777" w:rsidR="00CD0C84" w:rsidRPr="003E3E14" w:rsidRDefault="003E3E14" w:rsidP="003E3E14">
      <w:pPr>
        <w:spacing w:after="0"/>
        <w:ind w:left="720" w:hanging="720"/>
        <w:jc w:val="both"/>
      </w:pPr>
      <w:r w:rsidRPr="00E626C9">
        <w:t>Hammersley, M.</w:t>
      </w:r>
      <w:r w:rsidR="00E626C9" w:rsidRPr="00E626C9">
        <w:t xml:space="preserve"> y </w:t>
      </w:r>
      <w:r w:rsidR="00DF1EB5">
        <w:t xml:space="preserve">Atkinsom, P. (1994). </w:t>
      </w:r>
      <w:r w:rsidR="003B1058" w:rsidRPr="00DF1EB5">
        <w:rPr>
          <w:i/>
        </w:rPr>
        <w:t>Etnografia</w:t>
      </w:r>
      <w:r w:rsidR="003B1058" w:rsidRPr="00E626C9">
        <w:t xml:space="preserve">. </w:t>
      </w:r>
      <w:r w:rsidR="003B1058" w:rsidRPr="003E3E14">
        <w:t>Barcelona. Paidós.</w:t>
      </w:r>
    </w:p>
    <w:p w14:paraId="31358023" w14:textId="77777777" w:rsidR="00CD0C84" w:rsidRPr="00E071C7" w:rsidRDefault="003B1058" w:rsidP="003E3E14">
      <w:pPr>
        <w:spacing w:after="0"/>
        <w:ind w:left="720" w:hanging="720"/>
        <w:jc w:val="both"/>
        <w:rPr>
          <w:lang w:val="fr-FR"/>
        </w:rPr>
      </w:pPr>
      <w:r w:rsidRPr="003E3E14">
        <w:rPr>
          <w:lang w:val="en-US"/>
        </w:rPr>
        <w:t xml:space="preserve">Kozinets, R. V. (2009). Netnography: doing ethnographic research online. </w:t>
      </w:r>
      <w:r w:rsidR="00046659" w:rsidRPr="00E071C7">
        <w:rPr>
          <w:lang w:val="fr-FR"/>
        </w:rPr>
        <w:t>Diponible en:</w:t>
      </w:r>
      <w:r w:rsidRPr="00E071C7">
        <w:rPr>
          <w:lang w:val="fr-FR"/>
        </w:rPr>
        <w:t xml:space="preserve"> https://nls.ldls.org.uk/welcome.html?ark:/81055/vdc_100025410348.0x000001</w:t>
      </w:r>
    </w:p>
    <w:p w14:paraId="6C819A5A" w14:textId="77777777" w:rsidR="00CD0C84" w:rsidRPr="003E3E14" w:rsidRDefault="003B1058" w:rsidP="003E3E14">
      <w:pPr>
        <w:spacing w:after="0"/>
        <w:ind w:left="720" w:hanging="720"/>
        <w:jc w:val="both"/>
        <w:rPr>
          <w:lang w:val="en-US"/>
        </w:rPr>
      </w:pPr>
      <w:r w:rsidRPr="00E71208">
        <w:rPr>
          <w:lang w:val="en-US"/>
        </w:rPr>
        <w:t xml:space="preserve">Kozinets, R. V. (2015). Netnography. </w:t>
      </w:r>
      <w:r w:rsidRPr="003E3E14">
        <w:rPr>
          <w:lang w:val="en-US"/>
        </w:rPr>
        <w:t xml:space="preserve">En </w:t>
      </w:r>
      <w:r w:rsidRPr="003E3E14">
        <w:rPr>
          <w:i/>
          <w:lang w:val="en-US"/>
        </w:rPr>
        <w:t>The International Encyclopedia of Digital Communication and Society</w:t>
      </w:r>
      <w:r w:rsidRPr="003E3E14">
        <w:rPr>
          <w:lang w:val="en-US"/>
        </w:rPr>
        <w:t xml:space="preserve">. John Wiley &amp; Sons, Inc. </w:t>
      </w:r>
      <w:r w:rsidR="00046659">
        <w:rPr>
          <w:lang w:val="en-US"/>
        </w:rPr>
        <w:t>Disponible en:</w:t>
      </w:r>
      <w:r w:rsidRPr="003E3E14">
        <w:rPr>
          <w:lang w:val="en-US"/>
        </w:rPr>
        <w:t xml:space="preserve"> </w:t>
      </w:r>
      <w:r w:rsidRPr="003E3E14">
        <w:rPr>
          <w:lang w:val="en-US"/>
        </w:rPr>
        <w:lastRenderedPageBreak/>
        <w:t>http://onlinelibrary.wiley.com/doi/10.1002/9781118767771.wbiedcs067/abstract</w:t>
      </w:r>
    </w:p>
    <w:p w14:paraId="254EA745" w14:textId="77777777" w:rsidR="00CD0C84" w:rsidRPr="007775D3" w:rsidRDefault="003B1058" w:rsidP="003E3E14">
      <w:pPr>
        <w:spacing w:after="0"/>
        <w:ind w:left="720" w:hanging="720"/>
        <w:jc w:val="both"/>
        <w:rPr>
          <w:lang w:val="es-AR"/>
        </w:rPr>
      </w:pPr>
      <w:r w:rsidRPr="003E3E14">
        <w:rPr>
          <w:lang w:val="en-US"/>
        </w:rPr>
        <w:t xml:space="preserve">Murthy, D. (2008). Digital Ethnography: An Examination of the Use of New Technologies for Social Research. </w:t>
      </w:r>
      <w:r w:rsidRPr="007775D3">
        <w:rPr>
          <w:lang w:val="es-AR"/>
        </w:rPr>
        <w:t xml:space="preserve">Sociology, 42(5), 837-855. </w:t>
      </w:r>
      <w:hyperlink r:id="rId17">
        <w:r w:rsidRPr="007775D3">
          <w:rPr>
            <w:color w:val="0000FF"/>
            <w:u w:val="single"/>
            <w:lang w:val="es-AR"/>
          </w:rPr>
          <w:t>https://doi.org/10.1177/0038038508094565</w:t>
        </w:r>
      </w:hyperlink>
    </w:p>
    <w:p w14:paraId="4B255EF9" w14:textId="77777777" w:rsidR="00CD0C84" w:rsidRPr="00046659" w:rsidRDefault="003B1058" w:rsidP="003E3E14">
      <w:pPr>
        <w:spacing w:after="0"/>
        <w:ind w:left="720" w:hanging="720"/>
        <w:jc w:val="both"/>
      </w:pPr>
      <w:r w:rsidRPr="003E3E14">
        <w:rPr>
          <w:lang w:val="en-US"/>
        </w:rPr>
        <w:t xml:space="preserve">Sameshima, P. (2008). AutoethnoGRAPHIC relationality through paradox, parallax, and metaphor. </w:t>
      </w:r>
      <w:r w:rsidR="00046659" w:rsidRPr="005B00F8">
        <w:rPr>
          <w:lang w:val="en-US"/>
        </w:rPr>
        <w:t xml:space="preserve">Springgay, S., Irwin, R., Leggo, C. y Gouzouasis, P. (Eds.), </w:t>
      </w:r>
      <w:r w:rsidR="00046659" w:rsidRPr="005B00F8">
        <w:rPr>
          <w:i/>
          <w:lang w:val="en-US"/>
        </w:rPr>
        <w:t xml:space="preserve">Op. </w:t>
      </w:r>
      <w:r w:rsidR="00046659" w:rsidRPr="00ED5CDE">
        <w:rPr>
          <w:i/>
        </w:rPr>
        <w:t>Cit</w:t>
      </w:r>
      <w:r w:rsidR="00046659" w:rsidRPr="00046659">
        <w:t>.</w:t>
      </w:r>
      <w:r w:rsidR="00046659">
        <w:t xml:space="preserve"> (</w:t>
      </w:r>
      <w:r w:rsidRPr="00046659">
        <w:t>45-56</w:t>
      </w:r>
      <w:r w:rsidR="00046659">
        <w:t>)</w:t>
      </w:r>
      <w:r w:rsidRPr="00046659">
        <w:t>.</w:t>
      </w:r>
    </w:p>
    <w:p w14:paraId="73B9541D" w14:textId="77777777" w:rsidR="00CD0C84" w:rsidRPr="003E3E14" w:rsidRDefault="003B1058" w:rsidP="003E3E14">
      <w:pPr>
        <w:spacing w:after="0"/>
        <w:ind w:left="720" w:hanging="720"/>
        <w:jc w:val="both"/>
      </w:pPr>
      <w:r w:rsidRPr="00E626C9">
        <w:t>Sánchez, W. C.</w:t>
      </w:r>
      <w:r w:rsidR="00E626C9" w:rsidRPr="00E626C9">
        <w:t xml:space="preserve"> y </w:t>
      </w:r>
      <w:r w:rsidRPr="00E626C9">
        <w:t xml:space="preserve">Ortiz, P. A. (2017). </w:t>
      </w:r>
      <w:r w:rsidRPr="003E3E14">
        <w:t xml:space="preserve">La netnografía, un modelo etnográfico en la era digital. </w:t>
      </w:r>
      <w:r w:rsidRPr="00ED5CDE">
        <w:rPr>
          <w:i/>
        </w:rPr>
        <w:t>Revista ESPACIOS, 38(13)</w:t>
      </w:r>
      <w:r w:rsidRPr="003E3E14">
        <w:t xml:space="preserve">. </w:t>
      </w:r>
      <w:r w:rsidR="00046659">
        <w:t>Disponible en:</w:t>
      </w:r>
      <w:r w:rsidRPr="003E3E14">
        <w:t xml:space="preserve"> </w:t>
      </w:r>
      <w:hyperlink r:id="rId18">
        <w:r w:rsidRPr="003E3E14">
          <w:rPr>
            <w:color w:val="1155CC"/>
            <w:u w:val="single"/>
          </w:rPr>
          <w:t>http://www.revistaespacios.com/a17v38n13/17381328.html</w:t>
        </w:r>
      </w:hyperlink>
    </w:p>
    <w:p w14:paraId="27DCDEB0" w14:textId="77777777" w:rsidR="00CD0C84" w:rsidRPr="003E3E14" w:rsidRDefault="003B1058" w:rsidP="003E3E14">
      <w:pPr>
        <w:spacing w:after="0"/>
        <w:ind w:left="720" w:hanging="720"/>
        <w:jc w:val="both"/>
        <w:rPr>
          <w:lang w:val="en-US"/>
        </w:rPr>
      </w:pPr>
      <w:r w:rsidRPr="00ED5CDE">
        <w:t>Sprandley, J.</w:t>
      </w:r>
      <w:r w:rsidR="00ED5CDE">
        <w:t xml:space="preserve"> </w:t>
      </w:r>
      <w:r w:rsidRPr="00ED5CDE">
        <w:t xml:space="preserve">(1989) The ethnographic interview. </w:t>
      </w:r>
      <w:r w:rsidRPr="007775D3">
        <w:rPr>
          <w:lang w:val="en-US"/>
        </w:rPr>
        <w:t xml:space="preserve">Nueva York. </w:t>
      </w:r>
      <w:r w:rsidRPr="003E3E14">
        <w:rPr>
          <w:lang w:val="en-US"/>
        </w:rPr>
        <w:t xml:space="preserve">Holt. Rinehart and Winston. </w:t>
      </w:r>
    </w:p>
    <w:p w14:paraId="5F57CD0B" w14:textId="77777777" w:rsidR="00CD0C84" w:rsidRPr="003E3E14" w:rsidRDefault="00ED5CDE" w:rsidP="003E3E14">
      <w:pPr>
        <w:spacing w:after="0"/>
        <w:ind w:left="720" w:hanging="720"/>
        <w:jc w:val="both"/>
        <w:rPr>
          <w:lang w:val="en-US"/>
        </w:rPr>
      </w:pPr>
      <w:r>
        <w:rPr>
          <w:lang w:val="en-US"/>
        </w:rPr>
        <w:t xml:space="preserve">Springgay, S., Irwin, R. L. y Kind, S. (2005). </w:t>
      </w:r>
      <w:r w:rsidR="003B1058" w:rsidRPr="003E3E14">
        <w:rPr>
          <w:lang w:val="en-US"/>
        </w:rPr>
        <w:t>A/r/tography as livi</w:t>
      </w:r>
      <w:r>
        <w:rPr>
          <w:lang w:val="en-US"/>
        </w:rPr>
        <w:t>ng inquiry through art and text</w:t>
      </w:r>
      <w:r w:rsidR="003B1058" w:rsidRPr="003E3E14">
        <w:rPr>
          <w:lang w:val="en-US"/>
        </w:rPr>
        <w:t xml:space="preserve">, </w:t>
      </w:r>
      <w:r w:rsidR="003B1058" w:rsidRPr="00ED5CDE">
        <w:rPr>
          <w:i/>
          <w:lang w:val="en-US"/>
        </w:rPr>
        <w:t>Qualitative Inquiry</w:t>
      </w:r>
      <w:r w:rsidRPr="00ED5CDE">
        <w:rPr>
          <w:i/>
          <w:lang w:val="en-US"/>
        </w:rPr>
        <w:t>, 11 (6)</w:t>
      </w:r>
      <w:r>
        <w:rPr>
          <w:lang w:val="en-US"/>
        </w:rPr>
        <w:t>,</w:t>
      </w:r>
      <w:r w:rsidR="003B1058" w:rsidRPr="003E3E14">
        <w:rPr>
          <w:lang w:val="en-US"/>
        </w:rPr>
        <w:t xml:space="preserve"> 897-912.</w:t>
      </w:r>
    </w:p>
    <w:p w14:paraId="4662074C" w14:textId="77777777" w:rsidR="00CD0C84" w:rsidRPr="003E3E14" w:rsidRDefault="00ED5CDE" w:rsidP="003E3E14">
      <w:pPr>
        <w:spacing w:after="0"/>
        <w:ind w:left="720" w:hanging="720"/>
        <w:jc w:val="both"/>
        <w:rPr>
          <w:lang w:val="en-US"/>
        </w:rPr>
      </w:pPr>
      <w:r>
        <w:rPr>
          <w:lang w:val="en-US"/>
        </w:rPr>
        <w:t>St. Pierre, E.</w:t>
      </w:r>
      <w:r w:rsidR="003B1058" w:rsidRPr="003E3E14">
        <w:rPr>
          <w:lang w:val="en-US"/>
        </w:rPr>
        <w:t xml:space="preserve"> A. (2011). Post Qualitative Research: The </w:t>
      </w:r>
      <w:r>
        <w:rPr>
          <w:lang w:val="en-US"/>
        </w:rPr>
        <w:t>Critique and the Coming After. E</w:t>
      </w:r>
      <w:r w:rsidR="003B1058" w:rsidRPr="003E3E14">
        <w:rPr>
          <w:lang w:val="en-US"/>
        </w:rPr>
        <w:t>n Norman K</w:t>
      </w:r>
      <w:r>
        <w:rPr>
          <w:lang w:val="en-US"/>
        </w:rPr>
        <w:t>. Denzin and Yvonna S. Lincoln (</w:t>
      </w:r>
      <w:r w:rsidR="003B1058" w:rsidRPr="003E3E14">
        <w:rPr>
          <w:lang w:val="en-US"/>
        </w:rPr>
        <w:t>Eds.)</w:t>
      </w:r>
      <w:r w:rsidR="001D6A36">
        <w:rPr>
          <w:lang w:val="en-US"/>
        </w:rPr>
        <w:t>,</w:t>
      </w:r>
      <w:r w:rsidR="003B1058" w:rsidRPr="003E3E14">
        <w:rPr>
          <w:lang w:val="en-US"/>
        </w:rPr>
        <w:t xml:space="preserve"> </w:t>
      </w:r>
      <w:r w:rsidR="003B1058" w:rsidRPr="003E3E14">
        <w:rPr>
          <w:i/>
          <w:lang w:val="en-US"/>
        </w:rPr>
        <w:t xml:space="preserve">The Sage Handbook of Qualitative Research </w:t>
      </w:r>
      <w:r w:rsidR="003B1058" w:rsidRPr="003E3E14">
        <w:rPr>
          <w:lang w:val="en-US"/>
        </w:rPr>
        <w:t xml:space="preserve">(4th </w:t>
      </w:r>
      <w:r>
        <w:rPr>
          <w:lang w:val="en-US"/>
        </w:rPr>
        <w:t>ed.</w:t>
      </w:r>
      <w:r w:rsidR="003B1058" w:rsidRPr="003E3E14">
        <w:rPr>
          <w:lang w:val="en-US"/>
        </w:rPr>
        <w:t>). (pp. 611-625). Thousand Oaks: SAGE Publications Inc,</w:t>
      </w:r>
    </w:p>
    <w:p w14:paraId="39BEC274" w14:textId="77777777" w:rsidR="00CD0C84" w:rsidRPr="003E3E14" w:rsidRDefault="00ED5CDE" w:rsidP="003E3E14">
      <w:pPr>
        <w:spacing w:after="0"/>
        <w:ind w:left="720" w:hanging="720"/>
        <w:jc w:val="both"/>
        <w:rPr>
          <w:lang w:val="en-US"/>
        </w:rPr>
      </w:pPr>
      <w:r>
        <w:rPr>
          <w:lang w:val="en-US"/>
        </w:rPr>
        <w:t>St. Pierre, E.</w:t>
      </w:r>
      <w:r w:rsidR="003B1058" w:rsidRPr="003E3E14">
        <w:rPr>
          <w:lang w:val="en-US"/>
        </w:rPr>
        <w:t xml:space="preserve"> A. (2013). The posts continue: becoming. </w:t>
      </w:r>
      <w:r w:rsidR="003B1058" w:rsidRPr="003E3E14">
        <w:rPr>
          <w:i/>
          <w:lang w:val="en-US"/>
        </w:rPr>
        <w:t>International Journal of Qualitative Studies in Education</w:t>
      </w:r>
      <w:r w:rsidR="003B1058" w:rsidRPr="003E3E14">
        <w:rPr>
          <w:lang w:val="en-US"/>
        </w:rPr>
        <w:t>,</w:t>
      </w:r>
      <w:r w:rsidR="003B1058" w:rsidRPr="003E3E14">
        <w:rPr>
          <w:i/>
          <w:lang w:val="en-US"/>
        </w:rPr>
        <w:t xml:space="preserve"> 26(6)</w:t>
      </w:r>
      <w:r w:rsidR="003B1058" w:rsidRPr="003E3E14">
        <w:rPr>
          <w:lang w:val="en-US"/>
        </w:rPr>
        <w:t xml:space="preserve">, 646-657. </w:t>
      </w:r>
      <w:r>
        <w:rPr>
          <w:lang w:val="en-US"/>
        </w:rPr>
        <w:t>Disponible en</w:t>
      </w:r>
      <w:r w:rsidR="003E3E14">
        <w:rPr>
          <w:lang w:val="en-US"/>
        </w:rPr>
        <w:t>:</w:t>
      </w:r>
      <w:r w:rsidR="003B1058" w:rsidRPr="003E3E14">
        <w:rPr>
          <w:lang w:val="en-US"/>
        </w:rPr>
        <w:t xml:space="preserve">  </w:t>
      </w:r>
      <w:hyperlink r:id="rId19">
        <w:r w:rsidR="003B1058" w:rsidRPr="003E3E14">
          <w:rPr>
            <w:u w:val="single"/>
            <w:lang w:val="en-US"/>
          </w:rPr>
          <w:t>http://dx.doi.org/10.1080/09518398.2013.788754</w:t>
        </w:r>
      </w:hyperlink>
      <w:r w:rsidR="003B1058" w:rsidRPr="003E3E14">
        <w:rPr>
          <w:lang w:val="en-US"/>
        </w:rPr>
        <w:t xml:space="preserve">  </w:t>
      </w:r>
    </w:p>
    <w:p w14:paraId="62A76998" w14:textId="77777777" w:rsidR="00FE4A3A" w:rsidRPr="003E3E14" w:rsidRDefault="00FE4A3A" w:rsidP="003E3E14">
      <w:pPr>
        <w:spacing w:after="0"/>
        <w:ind w:left="720" w:hanging="720"/>
        <w:jc w:val="both"/>
        <w:rPr>
          <w:lang w:val="en-US"/>
        </w:rPr>
      </w:pPr>
      <w:bookmarkStart w:id="8" w:name="_35nkun2" w:colFirst="0" w:colLast="0"/>
      <w:bookmarkEnd w:id="8"/>
    </w:p>
    <w:p w14:paraId="2394FF1F" w14:textId="77777777" w:rsidR="00CD0C84" w:rsidRPr="003E3E14" w:rsidRDefault="00CD0C84" w:rsidP="003E3E14">
      <w:pPr>
        <w:spacing w:after="0"/>
        <w:jc w:val="both"/>
        <w:rPr>
          <w:lang w:val="en-US"/>
        </w:rPr>
      </w:pPr>
      <w:bookmarkStart w:id="9" w:name="_1ksv4uv" w:colFirst="0" w:colLast="0"/>
      <w:bookmarkEnd w:id="9"/>
    </w:p>
    <w:sectPr w:rsidR="00CD0C84" w:rsidRPr="003E3E14" w:rsidSect="009B344C">
      <w:type w:val="continuous"/>
      <w:pgSz w:w="11906" w:h="16838"/>
      <w:pgMar w:top="1417" w:right="1701" w:bottom="1417"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D8629" w14:textId="77777777" w:rsidR="001C6628" w:rsidRDefault="001C6628">
      <w:pPr>
        <w:spacing w:after="0" w:line="240" w:lineRule="auto"/>
      </w:pPr>
      <w:r>
        <w:separator/>
      </w:r>
    </w:p>
  </w:endnote>
  <w:endnote w:type="continuationSeparator" w:id="0">
    <w:p w14:paraId="5A21BE40" w14:textId="77777777" w:rsidR="001C6628" w:rsidRDefault="001C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T Serif">
    <w:altName w:val="Times New Roman"/>
    <w:charset w:val="00"/>
    <w:family w:val="roman"/>
    <w:pitch w:val="variable"/>
    <w:sig w:usb0="00000001" w:usb1="5000204B" w:usb2="00000000" w:usb3="00000000" w:csb0="00000097"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65792"/>
      <w:docPartObj>
        <w:docPartGallery w:val="Page Numbers (Bottom of Page)"/>
        <w:docPartUnique/>
      </w:docPartObj>
    </w:sdtPr>
    <w:sdtEndPr/>
    <w:sdtContent>
      <w:p w14:paraId="58AC67EE" w14:textId="32A0AF62" w:rsidR="00ED5CDE" w:rsidRDefault="009B344C">
        <w:pPr>
          <w:pStyle w:val="Piedepgina"/>
          <w:jc w:val="center"/>
        </w:pPr>
        <w:r>
          <w:fldChar w:fldCharType="begin"/>
        </w:r>
        <w:r w:rsidR="00ED5CDE">
          <w:instrText>PAGE   \* MERGEFORMAT</w:instrText>
        </w:r>
        <w:r>
          <w:fldChar w:fldCharType="separate"/>
        </w:r>
        <w:r w:rsidR="00FF464F">
          <w:rPr>
            <w:noProof/>
          </w:rPr>
          <w:t>4</w:t>
        </w:r>
        <w:r>
          <w:fldChar w:fldCharType="end"/>
        </w:r>
      </w:p>
    </w:sdtContent>
  </w:sdt>
  <w:p w14:paraId="691C00E8" w14:textId="77777777" w:rsidR="00ED5CDE" w:rsidRDefault="00ED5CDE">
    <w:pPr>
      <w:tabs>
        <w:tab w:val="left" w:pos="2001"/>
      </w:tabs>
      <w:spacing w:after="142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FA9EA" w14:textId="77777777" w:rsidR="001C6628" w:rsidRDefault="001C6628">
      <w:pPr>
        <w:spacing w:after="0" w:line="240" w:lineRule="auto"/>
      </w:pPr>
      <w:r>
        <w:separator/>
      </w:r>
    </w:p>
  </w:footnote>
  <w:footnote w:type="continuationSeparator" w:id="0">
    <w:p w14:paraId="1212E74F" w14:textId="77777777" w:rsidR="001C6628" w:rsidRDefault="001C6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66D5" w14:textId="77777777" w:rsidR="00ED5CDE" w:rsidRDefault="00ED5CDE">
    <w:pPr>
      <w:tabs>
        <w:tab w:val="center" w:pos="4252"/>
        <w:tab w:val="right" w:pos="8504"/>
      </w:tabs>
      <w:spacing w:before="708" w:after="0" w:line="240" w:lineRule="auto"/>
      <w:jc w:val="both"/>
      <w:rPr>
        <w:rFonts w:ascii="PT Serif" w:eastAsia="PT Serif" w:hAnsi="PT Serif" w:cs="PT Serif"/>
        <w:b/>
        <w:color w:val="EF6C00"/>
        <w:sz w:val="28"/>
        <w:szCs w:val="28"/>
      </w:rPr>
    </w:pPr>
  </w:p>
  <w:p w14:paraId="7016C428" w14:textId="77777777" w:rsidR="00ED5CDE" w:rsidRDefault="00ED5CDE">
    <w:pPr>
      <w:tabs>
        <w:tab w:val="center" w:pos="4252"/>
        <w:tab w:val="right" w:pos="8504"/>
      </w:tabs>
      <w:spacing w:after="0" w:line="240" w:lineRule="auto"/>
      <w:jc w:val="both"/>
      <w:rPr>
        <w:rFonts w:ascii="PT Serif" w:eastAsia="PT Serif" w:hAnsi="PT Serif" w:cs="PT Serif"/>
        <w:b/>
        <w:color w:val="F24B17"/>
        <w:sz w:val="28"/>
        <w:szCs w:val="28"/>
      </w:rPr>
    </w:pPr>
  </w:p>
  <w:p w14:paraId="34701703" w14:textId="77777777" w:rsidR="00ED5CDE" w:rsidRDefault="00ED5CDE">
    <w:pPr>
      <w:tabs>
        <w:tab w:val="center" w:pos="4252"/>
        <w:tab w:val="right" w:pos="8504"/>
      </w:tabs>
      <w:spacing w:after="0" w:line="240" w:lineRule="auto"/>
      <w:jc w:val="right"/>
      <w:rPr>
        <w:rFonts w:ascii="Calibri" w:eastAsia="Calibri" w:hAnsi="Calibri" w:cs="Calibri"/>
        <w:b/>
        <w:color w:val="F24B17"/>
        <w:sz w:val="28"/>
        <w:szCs w:val="28"/>
      </w:rPr>
    </w:pPr>
    <w:r>
      <w:rPr>
        <w:rFonts w:ascii="Calibri" w:eastAsia="Calibri" w:hAnsi="Calibri" w:cs="Calibri"/>
        <w:b/>
        <w:color w:val="595959"/>
        <w:sz w:val="28"/>
        <w:szCs w:val="28"/>
      </w:rPr>
      <w:t>MOOC Tendencias emergentes en investigación educativa</w:t>
    </w:r>
    <w:r>
      <w:rPr>
        <w:rFonts w:ascii="Calibri" w:eastAsia="Calibri" w:hAnsi="Calibri" w:cs="Calibri"/>
        <w:b/>
        <w:color w:val="F24B17"/>
        <w:sz w:val="28"/>
        <w:szCs w:val="28"/>
      </w:rPr>
      <w:br/>
    </w:r>
    <w:r>
      <w:rPr>
        <w:rFonts w:ascii="Calibri" w:eastAsia="Calibri" w:hAnsi="Calibri" w:cs="Calibri"/>
        <w:sz w:val="28"/>
        <w:szCs w:val="28"/>
      </w:rPr>
      <w:t xml:space="preserve">Módulo 4: Derivas en investigación educativa y social </w:t>
    </w:r>
  </w:p>
  <w:p w14:paraId="4B2F97E5" w14:textId="77777777" w:rsidR="00ED5CDE" w:rsidRDefault="00ED5CDE">
    <w:pPr>
      <w:tabs>
        <w:tab w:val="center" w:pos="4252"/>
        <w:tab w:val="right" w:pos="8504"/>
      </w:tabs>
      <w:spacing w:after="0" w:line="240" w:lineRule="auto"/>
      <w:jc w:val="right"/>
      <w:rPr>
        <w:rFonts w:ascii="Calibri" w:eastAsia="Calibri" w:hAnsi="Calibri" w:cs="Calibri"/>
        <w:b/>
        <w:color w:val="0070C0"/>
        <w:sz w:val="28"/>
        <w:szCs w:val="28"/>
      </w:rPr>
    </w:pPr>
  </w:p>
  <w:p w14:paraId="7BE302CE" w14:textId="77777777" w:rsidR="00ED5CDE" w:rsidRDefault="00ED5CDE">
    <w:pPr>
      <w:tabs>
        <w:tab w:val="center" w:pos="4252"/>
        <w:tab w:val="right" w:pos="8504"/>
      </w:tabs>
      <w:spacing w:after="0" w:line="240" w:lineRule="auto"/>
      <w:jc w:val="both"/>
      <w:rPr>
        <w:rFonts w:ascii="PT Serif" w:eastAsia="PT Serif" w:hAnsi="PT Serif" w:cs="PT Serif"/>
        <w:b/>
        <w:color w:val="0070C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84"/>
    <w:rsid w:val="00034C09"/>
    <w:rsid w:val="00046659"/>
    <w:rsid w:val="00150982"/>
    <w:rsid w:val="001732FE"/>
    <w:rsid w:val="001C6628"/>
    <w:rsid w:val="001D6A36"/>
    <w:rsid w:val="001F47B9"/>
    <w:rsid w:val="0025585A"/>
    <w:rsid w:val="002A1C39"/>
    <w:rsid w:val="003B1058"/>
    <w:rsid w:val="003E3E14"/>
    <w:rsid w:val="00433BB5"/>
    <w:rsid w:val="004659AD"/>
    <w:rsid w:val="00484AE9"/>
    <w:rsid w:val="00497CAB"/>
    <w:rsid w:val="004B5103"/>
    <w:rsid w:val="004C2BA2"/>
    <w:rsid w:val="004D1604"/>
    <w:rsid w:val="004E3146"/>
    <w:rsid w:val="00541D23"/>
    <w:rsid w:val="00552FAF"/>
    <w:rsid w:val="005B00F8"/>
    <w:rsid w:val="005B4759"/>
    <w:rsid w:val="005D1D2F"/>
    <w:rsid w:val="005D5CA6"/>
    <w:rsid w:val="00633F74"/>
    <w:rsid w:val="006A1C90"/>
    <w:rsid w:val="006C23C7"/>
    <w:rsid w:val="00702886"/>
    <w:rsid w:val="0072157D"/>
    <w:rsid w:val="00727C13"/>
    <w:rsid w:val="007775D3"/>
    <w:rsid w:val="00850650"/>
    <w:rsid w:val="00874B1B"/>
    <w:rsid w:val="008A171E"/>
    <w:rsid w:val="008D4780"/>
    <w:rsid w:val="00941743"/>
    <w:rsid w:val="00950E1E"/>
    <w:rsid w:val="00960452"/>
    <w:rsid w:val="00964331"/>
    <w:rsid w:val="00965CE7"/>
    <w:rsid w:val="00972B2C"/>
    <w:rsid w:val="009B344C"/>
    <w:rsid w:val="00A31304"/>
    <w:rsid w:val="00AD0911"/>
    <w:rsid w:val="00B02E2F"/>
    <w:rsid w:val="00B20077"/>
    <w:rsid w:val="00B36D12"/>
    <w:rsid w:val="00C165B3"/>
    <w:rsid w:val="00C23016"/>
    <w:rsid w:val="00C367C7"/>
    <w:rsid w:val="00C44F65"/>
    <w:rsid w:val="00C46046"/>
    <w:rsid w:val="00C930B9"/>
    <w:rsid w:val="00CD0C84"/>
    <w:rsid w:val="00CE0A2D"/>
    <w:rsid w:val="00D7440B"/>
    <w:rsid w:val="00DF1EB5"/>
    <w:rsid w:val="00E071C7"/>
    <w:rsid w:val="00E15112"/>
    <w:rsid w:val="00E626C9"/>
    <w:rsid w:val="00E71208"/>
    <w:rsid w:val="00ED5CDE"/>
    <w:rsid w:val="00F227E4"/>
    <w:rsid w:val="00F9435A"/>
    <w:rsid w:val="00FD3AEA"/>
    <w:rsid w:val="00FE4A3A"/>
    <w:rsid w:val="00FF464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899CA"/>
  <w15:docId w15:val="{D07A63AE-DB9A-43C4-816E-6590BE15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s-ES" w:eastAsia="es-E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344C"/>
  </w:style>
  <w:style w:type="paragraph" w:styleId="Ttulo1">
    <w:name w:val="heading 1"/>
    <w:basedOn w:val="Normal"/>
    <w:next w:val="Normal"/>
    <w:rsid w:val="009B344C"/>
    <w:pPr>
      <w:keepNext/>
      <w:keepLines/>
      <w:spacing w:before="240" w:after="0"/>
      <w:outlineLvl w:val="0"/>
    </w:pPr>
    <w:rPr>
      <w:b/>
      <w:smallCaps/>
      <w:sz w:val="28"/>
      <w:szCs w:val="28"/>
    </w:rPr>
  </w:style>
  <w:style w:type="paragraph" w:styleId="Ttulo2">
    <w:name w:val="heading 2"/>
    <w:basedOn w:val="Normal"/>
    <w:next w:val="Normal"/>
    <w:rsid w:val="009B344C"/>
    <w:pPr>
      <w:keepNext/>
      <w:keepLines/>
      <w:spacing w:before="40" w:after="0"/>
      <w:outlineLvl w:val="1"/>
    </w:pPr>
    <w:rPr>
      <w:rFonts w:ascii="Calibri" w:eastAsia="Calibri" w:hAnsi="Calibri" w:cs="Calibri"/>
      <w:b/>
      <w:color w:val="2E75B5"/>
      <w:sz w:val="26"/>
      <w:szCs w:val="26"/>
    </w:rPr>
  </w:style>
  <w:style w:type="paragraph" w:styleId="Ttulo3">
    <w:name w:val="heading 3"/>
    <w:basedOn w:val="Normal"/>
    <w:next w:val="Normal"/>
    <w:rsid w:val="009B344C"/>
    <w:pPr>
      <w:keepNext/>
      <w:keepLines/>
      <w:spacing w:before="280" w:after="80"/>
      <w:outlineLvl w:val="2"/>
    </w:pPr>
    <w:rPr>
      <w:b/>
      <w:sz w:val="28"/>
      <w:szCs w:val="28"/>
    </w:rPr>
  </w:style>
  <w:style w:type="paragraph" w:styleId="Ttulo4">
    <w:name w:val="heading 4"/>
    <w:basedOn w:val="Normal"/>
    <w:next w:val="Normal"/>
    <w:rsid w:val="009B344C"/>
    <w:pPr>
      <w:keepNext/>
      <w:keepLines/>
      <w:spacing w:before="240" w:after="40"/>
      <w:outlineLvl w:val="3"/>
    </w:pPr>
    <w:rPr>
      <w:b/>
    </w:rPr>
  </w:style>
  <w:style w:type="paragraph" w:styleId="Ttulo5">
    <w:name w:val="heading 5"/>
    <w:basedOn w:val="Normal"/>
    <w:next w:val="Normal"/>
    <w:rsid w:val="009B344C"/>
    <w:pPr>
      <w:keepNext/>
      <w:keepLines/>
      <w:spacing w:before="220" w:after="40"/>
      <w:outlineLvl w:val="4"/>
    </w:pPr>
    <w:rPr>
      <w:b/>
      <w:sz w:val="22"/>
      <w:szCs w:val="22"/>
    </w:rPr>
  </w:style>
  <w:style w:type="paragraph" w:styleId="Ttulo6">
    <w:name w:val="heading 6"/>
    <w:basedOn w:val="Normal"/>
    <w:next w:val="Normal"/>
    <w:rsid w:val="009B344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9B344C"/>
    <w:tblPr>
      <w:tblCellMar>
        <w:top w:w="0" w:type="dxa"/>
        <w:left w:w="0" w:type="dxa"/>
        <w:bottom w:w="0" w:type="dxa"/>
        <w:right w:w="0" w:type="dxa"/>
      </w:tblCellMar>
    </w:tblPr>
  </w:style>
  <w:style w:type="paragraph" w:styleId="Puesto">
    <w:name w:val="Title"/>
    <w:basedOn w:val="Normal"/>
    <w:next w:val="Normal"/>
    <w:rsid w:val="009B344C"/>
    <w:pPr>
      <w:keepNext/>
      <w:keepLines/>
      <w:spacing w:before="480" w:after="120"/>
    </w:pPr>
    <w:rPr>
      <w:b/>
      <w:sz w:val="72"/>
      <w:szCs w:val="72"/>
    </w:rPr>
  </w:style>
  <w:style w:type="paragraph" w:styleId="Subttulo">
    <w:name w:val="Subtitle"/>
    <w:basedOn w:val="Normal"/>
    <w:next w:val="Normal"/>
    <w:rsid w:val="009B344C"/>
    <w:pPr>
      <w:keepNext/>
      <w:keepLines/>
      <w:spacing w:before="360" w:after="80"/>
    </w:pPr>
    <w:rPr>
      <w:rFonts w:ascii="Georgia" w:eastAsia="Georgia" w:hAnsi="Georgia" w:cs="Georgia"/>
      <w:b/>
      <w:i/>
      <w:color w:val="666666"/>
      <w:sz w:val="28"/>
      <w:szCs w:val="28"/>
    </w:rPr>
  </w:style>
  <w:style w:type="character" w:styleId="Refdecomentario">
    <w:name w:val="annotation reference"/>
    <w:basedOn w:val="Fuentedeprrafopredeter"/>
    <w:uiPriority w:val="99"/>
    <w:semiHidden/>
    <w:unhideWhenUsed/>
    <w:rsid w:val="00150982"/>
    <w:rPr>
      <w:sz w:val="16"/>
      <w:szCs w:val="16"/>
    </w:rPr>
  </w:style>
  <w:style w:type="paragraph" w:styleId="Textocomentario">
    <w:name w:val="annotation text"/>
    <w:basedOn w:val="Normal"/>
    <w:link w:val="TextocomentarioCar"/>
    <w:uiPriority w:val="99"/>
    <w:semiHidden/>
    <w:unhideWhenUsed/>
    <w:rsid w:val="001509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982"/>
    <w:rPr>
      <w:sz w:val="20"/>
      <w:szCs w:val="20"/>
    </w:rPr>
  </w:style>
  <w:style w:type="paragraph" w:styleId="Asuntodelcomentario">
    <w:name w:val="annotation subject"/>
    <w:basedOn w:val="Textocomentario"/>
    <w:next w:val="Textocomentario"/>
    <w:link w:val="AsuntodelcomentarioCar"/>
    <w:uiPriority w:val="99"/>
    <w:semiHidden/>
    <w:unhideWhenUsed/>
    <w:rsid w:val="00150982"/>
    <w:rPr>
      <w:b/>
      <w:bCs/>
    </w:rPr>
  </w:style>
  <w:style w:type="character" w:customStyle="1" w:styleId="AsuntodelcomentarioCar">
    <w:name w:val="Asunto del comentario Car"/>
    <w:basedOn w:val="TextocomentarioCar"/>
    <w:link w:val="Asuntodelcomentario"/>
    <w:uiPriority w:val="99"/>
    <w:semiHidden/>
    <w:rsid w:val="00150982"/>
    <w:rPr>
      <w:b/>
      <w:bCs/>
      <w:sz w:val="20"/>
      <w:szCs w:val="20"/>
    </w:rPr>
  </w:style>
  <w:style w:type="paragraph" w:styleId="Textodeglobo">
    <w:name w:val="Balloon Text"/>
    <w:basedOn w:val="Normal"/>
    <w:link w:val="TextodegloboCar"/>
    <w:uiPriority w:val="99"/>
    <w:semiHidden/>
    <w:unhideWhenUsed/>
    <w:rsid w:val="001509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982"/>
    <w:rPr>
      <w:rFonts w:ascii="Segoe UI" w:hAnsi="Segoe UI" w:cs="Segoe UI"/>
      <w:sz w:val="18"/>
      <w:szCs w:val="18"/>
    </w:rPr>
  </w:style>
  <w:style w:type="paragraph" w:styleId="Encabezado">
    <w:name w:val="header"/>
    <w:basedOn w:val="Normal"/>
    <w:link w:val="EncabezadoCar"/>
    <w:uiPriority w:val="99"/>
    <w:unhideWhenUsed/>
    <w:rsid w:val="001509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982"/>
  </w:style>
  <w:style w:type="paragraph" w:styleId="Piedepgina">
    <w:name w:val="footer"/>
    <w:basedOn w:val="Normal"/>
    <w:link w:val="PiedepginaCar"/>
    <w:uiPriority w:val="99"/>
    <w:unhideWhenUsed/>
    <w:rsid w:val="001509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982"/>
  </w:style>
  <w:style w:type="character" w:styleId="Hipervnculo">
    <w:name w:val="Hyperlink"/>
    <w:basedOn w:val="Fuentedeprrafopredeter"/>
    <w:uiPriority w:val="99"/>
    <w:unhideWhenUsed/>
    <w:rsid w:val="00702886"/>
    <w:rPr>
      <w:color w:val="0563C1" w:themeColor="hyperlink"/>
      <w:u w:val="single"/>
    </w:rPr>
  </w:style>
  <w:style w:type="character" w:customStyle="1" w:styleId="Mencinsinresolver1">
    <w:name w:val="Mención sin resolver1"/>
    <w:basedOn w:val="Fuentedeprrafopredeter"/>
    <w:uiPriority w:val="99"/>
    <w:semiHidden/>
    <w:unhideWhenUsed/>
    <w:rsid w:val="00702886"/>
    <w:rPr>
      <w:color w:val="808080"/>
      <w:shd w:val="clear" w:color="auto" w:fill="E6E6E6"/>
    </w:rPr>
  </w:style>
  <w:style w:type="character" w:customStyle="1" w:styleId="fqscharitalic">
    <w:name w:val="fqscharitalic"/>
    <w:basedOn w:val="Fuentedeprrafopredeter"/>
    <w:rsid w:val="00497CAB"/>
  </w:style>
  <w:style w:type="character" w:styleId="Hipervnculovisitado">
    <w:name w:val="FollowedHyperlink"/>
    <w:basedOn w:val="Fuentedeprrafopredeter"/>
    <w:uiPriority w:val="99"/>
    <w:semiHidden/>
    <w:unhideWhenUsed/>
    <w:rsid w:val="00497CAB"/>
    <w:rPr>
      <w:color w:val="954F72" w:themeColor="followedHyperlink"/>
      <w:u w:val="single"/>
    </w:rPr>
  </w:style>
  <w:style w:type="character" w:styleId="nfasissutil">
    <w:name w:val="Subtle Emphasis"/>
    <w:basedOn w:val="Fuentedeprrafopredeter"/>
    <w:uiPriority w:val="19"/>
    <w:qFormat/>
    <w:rsid w:val="00960452"/>
    <w:rPr>
      <w:i/>
      <w:iCs/>
      <w:color w:val="404040" w:themeColor="text1" w:themeTint="BF"/>
    </w:rPr>
  </w:style>
  <w:style w:type="character" w:customStyle="1" w:styleId="Mencinsinresolver2">
    <w:name w:val="Mención sin resolver2"/>
    <w:basedOn w:val="Fuentedeprrafopredeter"/>
    <w:uiPriority w:val="99"/>
    <w:rsid w:val="00B200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onlinelibrary.wiley.com/doi/10.1111/j.1476-8070.2012.01724.x/epdf" TargetMode="External"/><Relationship Id="rId18" Type="http://schemas.openxmlformats.org/officeDocument/2006/relationships/hyperlink" Target="http://www.revistaespacios.com/a17v38n13/17381328.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ankulegi.org/5-la-mediacion-tecnologica-en-la-practica-etnografica/" TargetMode="External"/><Relationship Id="rId17" Type="http://schemas.openxmlformats.org/officeDocument/2006/relationships/hyperlink" Target="https://doi.org/10.1177/0038038508094565" TargetMode="External"/><Relationship Id="rId2" Type="http://schemas.openxmlformats.org/officeDocument/2006/relationships/settings" Target="settings.xml"/><Relationship Id="rId16" Type="http://schemas.openxmlformats.org/officeDocument/2006/relationships/hyperlink" Target="http://www.cybersociology.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nbn-resolving.de/urn:nbn:de:0114-fqs0703E19" TargetMode="External"/><Relationship Id="rId10" Type="http://schemas.openxmlformats.org/officeDocument/2006/relationships/header" Target="header1.xml"/><Relationship Id="rId19" Type="http://schemas.openxmlformats.org/officeDocument/2006/relationships/hyperlink" Target="http://dx.doi.org/10.1080/09518398.2013.788754"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onlinelibrary.wiley.com/doi/10.1111/j.1476-8070.2012.01724.x/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8671</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M. Sancho</dc:creator>
  <cp:lastModifiedBy>Lorena</cp:lastModifiedBy>
  <cp:revision>2</cp:revision>
  <dcterms:created xsi:type="dcterms:W3CDTF">2019-05-01T11:59:00Z</dcterms:created>
  <dcterms:modified xsi:type="dcterms:W3CDTF">2019-05-01T11:59:00Z</dcterms:modified>
</cp:coreProperties>
</file>