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F4" w:rsidRPr="00A518F4" w:rsidRDefault="00A518F4" w:rsidP="00A518F4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es-AR"/>
        </w:rPr>
      </w:pPr>
      <w:r w:rsidRPr="00A518F4">
        <w:rPr>
          <w:rFonts w:ascii="Times New Roman" w:eastAsia="Times New Roman" w:hAnsi="Times New Roman" w:cs="Times New Roman"/>
          <w:sz w:val="21"/>
          <w:szCs w:val="21"/>
          <w:lang w:eastAsia="es-AR"/>
        </w:rPr>
        <w:t xml:space="preserve">La propuesta es 1) </w:t>
      </w:r>
      <w:r w:rsidRPr="00A518F4">
        <w:rPr>
          <w:rFonts w:ascii="Times New Roman" w:eastAsia="Times New Roman" w:hAnsi="Times New Roman" w:cs="Times New Roman"/>
          <w:b/>
          <w:sz w:val="21"/>
          <w:szCs w:val="21"/>
          <w:lang w:eastAsia="es-AR"/>
        </w:rPr>
        <w:t>Elaborar una tabla de especificaciones</w:t>
      </w:r>
      <w:r w:rsidRPr="00A518F4">
        <w:rPr>
          <w:rFonts w:ascii="Times New Roman" w:eastAsia="Times New Roman" w:hAnsi="Times New Roman" w:cs="Times New Roman"/>
          <w:sz w:val="21"/>
          <w:szCs w:val="21"/>
          <w:lang w:eastAsia="es-AR"/>
        </w:rPr>
        <w:t xml:space="preserve">, 2) </w:t>
      </w:r>
      <w:r w:rsidRPr="00A518F4">
        <w:rPr>
          <w:rFonts w:ascii="Times New Roman" w:eastAsia="Times New Roman" w:hAnsi="Times New Roman" w:cs="Times New Roman"/>
          <w:b/>
          <w:sz w:val="21"/>
          <w:szCs w:val="21"/>
          <w:lang w:eastAsia="es-AR"/>
        </w:rPr>
        <w:t>Diseñar un instrumento de registro o de evaluación</w:t>
      </w:r>
      <w:r>
        <w:rPr>
          <w:rFonts w:ascii="Times New Roman" w:eastAsia="Times New Roman" w:hAnsi="Times New Roman" w:cs="Times New Roman"/>
          <w:sz w:val="21"/>
          <w:szCs w:val="21"/>
          <w:lang w:eastAsia="es-AR"/>
        </w:rPr>
        <w:t>,</w:t>
      </w:r>
      <w:r w:rsidRPr="00A518F4">
        <w:rPr>
          <w:rFonts w:ascii="Times New Roman" w:eastAsia="Times New Roman" w:hAnsi="Times New Roman" w:cs="Times New Roman"/>
          <w:sz w:val="21"/>
          <w:szCs w:val="21"/>
          <w:lang w:eastAsia="es-AR"/>
        </w:rPr>
        <w:t xml:space="preserve"> 3) </w:t>
      </w:r>
      <w:r w:rsidRPr="00A518F4">
        <w:rPr>
          <w:rFonts w:ascii="Times New Roman" w:eastAsia="Times New Roman" w:hAnsi="Times New Roman" w:cs="Times New Roman"/>
          <w:b/>
          <w:sz w:val="21"/>
          <w:szCs w:val="21"/>
          <w:lang w:eastAsia="es-AR"/>
        </w:rPr>
        <w:t>Justificar el desarrollo de este instrumento (el por qué)</w:t>
      </w:r>
      <w:r w:rsidRPr="00A518F4">
        <w:rPr>
          <w:rFonts w:ascii="Times New Roman" w:eastAsia="Times New Roman" w:hAnsi="Times New Roman" w:cs="Times New Roman"/>
          <w:sz w:val="21"/>
          <w:szCs w:val="21"/>
          <w:lang w:eastAsia="es-AR"/>
        </w:rPr>
        <w:t>.</w:t>
      </w:r>
    </w:p>
    <w:p w:rsidR="00803D1E" w:rsidRPr="005C376D" w:rsidRDefault="005C376D">
      <w:pPr>
        <w:rPr>
          <w:rFonts w:ascii="Times New Roman" w:eastAsia="Times New Roman" w:hAnsi="Times New Roman" w:cs="Times New Roman"/>
          <w:b/>
          <w:sz w:val="21"/>
          <w:szCs w:val="21"/>
          <w:lang w:eastAsia="es-AR"/>
        </w:rPr>
      </w:pPr>
      <w:r w:rsidRPr="005C376D">
        <w:rPr>
          <w:rFonts w:ascii="Times New Roman" w:eastAsia="Times New Roman" w:hAnsi="Times New Roman" w:cs="Times New Roman"/>
          <w:b/>
          <w:sz w:val="21"/>
          <w:szCs w:val="21"/>
          <w:lang w:eastAsia="es-AR"/>
        </w:rPr>
        <w:t>Desarrollo.-</w:t>
      </w:r>
    </w:p>
    <w:p w:rsidR="00803D1E" w:rsidRDefault="00803D1E" w:rsidP="00803D1E">
      <w:pPr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A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es-AR"/>
        </w:rPr>
        <w:t xml:space="preserve">El </w:t>
      </w:r>
      <w:r w:rsidR="002035BB">
        <w:rPr>
          <w:rFonts w:ascii="Times New Roman" w:eastAsia="Times New Roman" w:hAnsi="Times New Roman" w:cs="Times New Roman"/>
          <w:sz w:val="21"/>
          <w:szCs w:val="21"/>
          <w:lang w:eastAsia="es-AR"/>
        </w:rPr>
        <w:t>estudio</w:t>
      </w:r>
      <w:r>
        <w:rPr>
          <w:rFonts w:ascii="Times New Roman" w:eastAsia="Times New Roman" w:hAnsi="Times New Roman" w:cs="Times New Roman"/>
          <w:sz w:val="21"/>
          <w:szCs w:val="21"/>
          <w:lang w:eastAsia="es-AR"/>
        </w:rPr>
        <w:t xml:space="preserve"> de los elementos químicos </w:t>
      </w:r>
      <w:r w:rsidR="006D75D9">
        <w:rPr>
          <w:rFonts w:ascii="Times New Roman" w:eastAsia="Times New Roman" w:hAnsi="Times New Roman" w:cs="Times New Roman"/>
          <w:sz w:val="21"/>
          <w:szCs w:val="21"/>
          <w:lang w:eastAsia="es-AR"/>
        </w:rPr>
        <w:t>y</w:t>
      </w:r>
      <w:r>
        <w:rPr>
          <w:rFonts w:ascii="Times New Roman" w:eastAsia="Times New Roman" w:hAnsi="Times New Roman" w:cs="Times New Roman"/>
          <w:sz w:val="21"/>
          <w:szCs w:val="21"/>
          <w:lang w:eastAsia="es-AR"/>
        </w:rPr>
        <w:t xml:space="preserve"> su ordenamiento en la Tabla Perió</w:t>
      </w:r>
      <w:r w:rsidR="006D75D9">
        <w:rPr>
          <w:rFonts w:ascii="Times New Roman" w:eastAsia="Times New Roman" w:hAnsi="Times New Roman" w:cs="Times New Roman"/>
          <w:sz w:val="21"/>
          <w:szCs w:val="21"/>
          <w:lang w:eastAsia="es-AR"/>
        </w:rPr>
        <w:t>dica</w:t>
      </w:r>
      <w:r w:rsidR="00D45F00">
        <w:rPr>
          <w:rFonts w:ascii="Times New Roman" w:eastAsia="Times New Roman" w:hAnsi="Times New Roman" w:cs="Times New Roman"/>
          <w:sz w:val="21"/>
          <w:szCs w:val="21"/>
          <w:lang w:eastAsia="es-AR"/>
        </w:rPr>
        <w:t xml:space="preserve"> implica el conocimiento de </w:t>
      </w:r>
      <w:r w:rsidR="005C376D">
        <w:rPr>
          <w:rFonts w:ascii="Times New Roman" w:eastAsia="Times New Roman" w:hAnsi="Times New Roman" w:cs="Times New Roman"/>
          <w:sz w:val="21"/>
          <w:szCs w:val="21"/>
          <w:lang w:eastAsia="es-AR"/>
        </w:rPr>
        <w:t xml:space="preserve">sus diversas propiedades químicas, </w:t>
      </w:r>
      <w:r w:rsidR="002035BB">
        <w:rPr>
          <w:rFonts w:ascii="Times New Roman" w:eastAsia="Times New Roman" w:hAnsi="Times New Roman" w:cs="Times New Roman"/>
          <w:sz w:val="21"/>
          <w:szCs w:val="21"/>
          <w:lang w:eastAsia="es-AR"/>
        </w:rPr>
        <w:t xml:space="preserve">como así también el análisis de </w:t>
      </w:r>
      <w:r w:rsidR="006D75D9">
        <w:rPr>
          <w:rFonts w:ascii="Times New Roman" w:eastAsia="Times New Roman" w:hAnsi="Times New Roman" w:cs="Times New Roman"/>
          <w:sz w:val="21"/>
          <w:szCs w:val="21"/>
          <w:lang w:eastAsia="es-AR"/>
        </w:rPr>
        <w:t>cómo</w:t>
      </w:r>
      <w:r w:rsidR="002035BB">
        <w:rPr>
          <w:rFonts w:ascii="Times New Roman" w:eastAsia="Times New Roman" w:hAnsi="Times New Roman" w:cs="Times New Roman"/>
          <w:sz w:val="21"/>
          <w:szCs w:val="21"/>
          <w:lang w:eastAsia="es-AR"/>
        </w:rPr>
        <w:t xml:space="preserve"> estas propiedades varían</w:t>
      </w:r>
      <w:r w:rsidR="005C376D">
        <w:rPr>
          <w:rFonts w:ascii="Times New Roman" w:eastAsia="Times New Roman" w:hAnsi="Times New Roman" w:cs="Times New Roman"/>
          <w:sz w:val="21"/>
          <w:szCs w:val="21"/>
          <w:lang w:eastAsia="es-AR"/>
        </w:rPr>
        <w:t xml:space="preserve"> entre los elementos</w:t>
      </w:r>
      <w:r w:rsidR="00D45F00">
        <w:rPr>
          <w:rFonts w:ascii="Times New Roman" w:eastAsia="Times New Roman" w:hAnsi="Times New Roman" w:cs="Times New Roman"/>
          <w:sz w:val="21"/>
          <w:szCs w:val="21"/>
          <w:lang w:eastAsia="es-AR"/>
        </w:rPr>
        <w:t>, lo cual favorece la comprensión d</w:t>
      </w:r>
      <w:r w:rsidR="002035BB">
        <w:rPr>
          <w:rFonts w:ascii="Times New Roman" w:eastAsia="Times New Roman" w:hAnsi="Times New Roman" w:cs="Times New Roman"/>
          <w:sz w:val="21"/>
          <w:szCs w:val="21"/>
          <w:lang w:eastAsia="es-AR"/>
        </w:rPr>
        <w:t>e dichas propiedades, la sistematización</w:t>
      </w:r>
      <w:r w:rsidR="00D45F00">
        <w:rPr>
          <w:rFonts w:ascii="Times New Roman" w:eastAsia="Times New Roman" w:hAnsi="Times New Roman" w:cs="Times New Roman"/>
          <w:sz w:val="21"/>
          <w:szCs w:val="21"/>
          <w:lang w:eastAsia="es-AR"/>
        </w:rPr>
        <w:t xml:space="preserve"> de los comportamientos químicos de los elementos y de</w:t>
      </w:r>
      <w:r w:rsidR="006D75D9">
        <w:rPr>
          <w:rFonts w:ascii="Times New Roman" w:eastAsia="Times New Roman" w:hAnsi="Times New Roman" w:cs="Times New Roman"/>
          <w:sz w:val="21"/>
          <w:szCs w:val="21"/>
          <w:lang w:eastAsia="es-AR"/>
        </w:rPr>
        <w:t xml:space="preserve"> su</w:t>
      </w:r>
      <w:r w:rsidR="00D45F00">
        <w:rPr>
          <w:rFonts w:ascii="Times New Roman" w:eastAsia="Times New Roman" w:hAnsi="Times New Roman" w:cs="Times New Roman"/>
          <w:sz w:val="21"/>
          <w:szCs w:val="21"/>
          <w:lang w:eastAsia="es-AR"/>
        </w:rPr>
        <w:t xml:space="preserve"> ordenamient</w:t>
      </w:r>
      <w:r w:rsidR="0068465A">
        <w:rPr>
          <w:rFonts w:ascii="Times New Roman" w:eastAsia="Times New Roman" w:hAnsi="Times New Roman" w:cs="Times New Roman"/>
          <w:sz w:val="21"/>
          <w:szCs w:val="21"/>
          <w:lang w:eastAsia="es-AR"/>
        </w:rPr>
        <w:t>o en la Tabla.</w:t>
      </w:r>
    </w:p>
    <w:p w:rsidR="00803D1E" w:rsidRPr="00A518F4" w:rsidRDefault="00AB04AB" w:rsidP="00A518F4">
      <w:pPr>
        <w:spacing w:after="15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es-AR"/>
        </w:rPr>
      </w:pPr>
      <w:r w:rsidRPr="00AB04AB">
        <w:rPr>
          <w:rFonts w:ascii="Times New Roman" w:eastAsia="Times New Roman" w:hAnsi="Times New Roman" w:cs="Times New Roman"/>
          <w:b/>
          <w:sz w:val="21"/>
          <w:szCs w:val="21"/>
          <w:lang w:eastAsia="es-AR"/>
        </w:rPr>
        <w:t xml:space="preserve">1) </w:t>
      </w:r>
      <w:r w:rsidR="00803D1E" w:rsidRPr="00AB04AB">
        <w:rPr>
          <w:rFonts w:ascii="Times New Roman" w:eastAsia="Times New Roman" w:hAnsi="Times New Roman" w:cs="Times New Roman"/>
          <w:b/>
          <w:sz w:val="21"/>
          <w:szCs w:val="21"/>
          <w:lang w:eastAsia="es-AR"/>
        </w:rPr>
        <w:t>Tabla de Especificaciones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803D1E" w:rsidTr="009229A1">
        <w:tc>
          <w:tcPr>
            <w:tcW w:w="1698" w:type="dxa"/>
          </w:tcPr>
          <w:p w:rsidR="00803D1E" w:rsidRPr="009229A1" w:rsidRDefault="009229A1" w:rsidP="00922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9A1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1699" w:type="dxa"/>
          </w:tcPr>
          <w:p w:rsidR="00803D1E" w:rsidRPr="009229A1" w:rsidRDefault="009229A1" w:rsidP="00922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9A1">
              <w:rPr>
                <w:rFonts w:ascii="Times New Roman" w:hAnsi="Times New Roman" w:cs="Times New Roman"/>
                <w:b/>
              </w:rPr>
              <w:t>Conocer</w:t>
            </w:r>
          </w:p>
        </w:tc>
        <w:tc>
          <w:tcPr>
            <w:tcW w:w="1699" w:type="dxa"/>
          </w:tcPr>
          <w:p w:rsidR="00803D1E" w:rsidRPr="009229A1" w:rsidRDefault="009229A1" w:rsidP="00922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9A1">
              <w:rPr>
                <w:rFonts w:ascii="Times New Roman" w:hAnsi="Times New Roman" w:cs="Times New Roman"/>
                <w:b/>
              </w:rPr>
              <w:t>Aplicar</w:t>
            </w:r>
          </w:p>
        </w:tc>
        <w:tc>
          <w:tcPr>
            <w:tcW w:w="1699" w:type="dxa"/>
          </w:tcPr>
          <w:p w:rsidR="00803D1E" w:rsidRPr="009229A1" w:rsidRDefault="009229A1" w:rsidP="00922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9A1">
              <w:rPr>
                <w:rFonts w:ascii="Times New Roman" w:hAnsi="Times New Roman" w:cs="Times New Roman"/>
                <w:b/>
              </w:rPr>
              <w:t>Evaluar</w:t>
            </w:r>
          </w:p>
        </w:tc>
        <w:tc>
          <w:tcPr>
            <w:tcW w:w="1699" w:type="dxa"/>
          </w:tcPr>
          <w:p w:rsidR="00803D1E" w:rsidRPr="009229A1" w:rsidRDefault="009229A1" w:rsidP="00922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9A1">
              <w:rPr>
                <w:rFonts w:ascii="Times New Roman" w:hAnsi="Times New Roman" w:cs="Times New Roman"/>
                <w:b/>
              </w:rPr>
              <w:t>Puntaje</w:t>
            </w:r>
          </w:p>
        </w:tc>
      </w:tr>
      <w:tr w:rsidR="00803D1E" w:rsidTr="009229A1">
        <w:tc>
          <w:tcPr>
            <w:tcW w:w="1698" w:type="dxa"/>
          </w:tcPr>
          <w:p w:rsidR="00803D1E" w:rsidRDefault="009229A1" w:rsidP="005C37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Describir las principales características químicas de los elementos del grupo 1</w:t>
            </w:r>
            <w:r w:rsidR="005C376D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</w:tcPr>
          <w:p w:rsidR="00803D1E" w:rsidRDefault="00AB04AB" w:rsidP="00684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035BB">
              <w:rPr>
                <w:rFonts w:ascii="Times New Roman" w:hAnsi="Times New Roman" w:cs="Times New Roman"/>
              </w:rPr>
              <w:t xml:space="preserve"> preguntas de ítems cerrados.</w:t>
            </w:r>
          </w:p>
          <w:p w:rsidR="002035BB" w:rsidRDefault="002035BB" w:rsidP="00AB04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AB04AB">
              <w:rPr>
                <w:rFonts w:ascii="Times New Roman" w:hAnsi="Times New Roman" w:cs="Times New Roman"/>
              </w:rPr>
              <w:t>2</w:t>
            </w:r>
            <w:r w:rsidR="006D75D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puntos)</w:t>
            </w:r>
          </w:p>
        </w:tc>
        <w:tc>
          <w:tcPr>
            <w:tcW w:w="1699" w:type="dxa"/>
          </w:tcPr>
          <w:p w:rsidR="00803D1E" w:rsidRDefault="002035BB" w:rsidP="00203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pregunta de desarrollo.</w:t>
            </w:r>
          </w:p>
          <w:p w:rsidR="002035BB" w:rsidRDefault="002035BB" w:rsidP="00203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puntos)</w:t>
            </w:r>
          </w:p>
        </w:tc>
        <w:tc>
          <w:tcPr>
            <w:tcW w:w="1699" w:type="dxa"/>
          </w:tcPr>
          <w:p w:rsidR="006D75D9" w:rsidRDefault="006D75D9" w:rsidP="006D7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Estudio de casos</w:t>
            </w:r>
          </w:p>
          <w:p w:rsidR="00803D1E" w:rsidRDefault="006D75D9" w:rsidP="006D7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 puntos)</w:t>
            </w:r>
          </w:p>
        </w:tc>
        <w:tc>
          <w:tcPr>
            <w:tcW w:w="1699" w:type="dxa"/>
          </w:tcPr>
          <w:p w:rsidR="00803D1E" w:rsidRDefault="006D75D9" w:rsidP="006D7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puntos</w:t>
            </w:r>
          </w:p>
        </w:tc>
      </w:tr>
      <w:tr w:rsidR="00803D1E" w:rsidTr="009229A1">
        <w:tc>
          <w:tcPr>
            <w:tcW w:w="1698" w:type="dxa"/>
          </w:tcPr>
          <w:p w:rsidR="00803D1E" w:rsidRDefault="009229A1" w:rsidP="009229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Diferenciar el comportamiento particular del “cabeza de serie” del resto de sus congéneres.</w:t>
            </w:r>
          </w:p>
        </w:tc>
        <w:tc>
          <w:tcPr>
            <w:tcW w:w="1699" w:type="dxa"/>
          </w:tcPr>
          <w:p w:rsidR="00803D1E" w:rsidRDefault="006D75D9" w:rsidP="00684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preguntas de ítems cerrados.</w:t>
            </w:r>
          </w:p>
          <w:p w:rsidR="006D75D9" w:rsidRDefault="006D75D9" w:rsidP="006D7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 puntos)</w:t>
            </w:r>
          </w:p>
        </w:tc>
        <w:tc>
          <w:tcPr>
            <w:tcW w:w="1699" w:type="dxa"/>
          </w:tcPr>
          <w:p w:rsidR="00803D1E" w:rsidRDefault="006D7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pregunta de desarrollo.</w:t>
            </w:r>
          </w:p>
          <w:p w:rsidR="006D75D9" w:rsidRDefault="006D75D9" w:rsidP="006D7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 puntos)</w:t>
            </w:r>
          </w:p>
        </w:tc>
        <w:tc>
          <w:tcPr>
            <w:tcW w:w="1699" w:type="dxa"/>
          </w:tcPr>
          <w:p w:rsidR="00803D1E" w:rsidRDefault="00803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803D1E" w:rsidRDefault="006D75D9" w:rsidP="006D7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puntos</w:t>
            </w:r>
          </w:p>
        </w:tc>
      </w:tr>
      <w:tr w:rsidR="00803D1E" w:rsidTr="009229A1">
        <w:tc>
          <w:tcPr>
            <w:tcW w:w="1698" w:type="dxa"/>
          </w:tcPr>
          <w:p w:rsidR="00803D1E" w:rsidRDefault="009229A1" w:rsidP="009229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8214F7">
              <w:rPr>
                <w:rFonts w:ascii="Times New Roman" w:hAnsi="Times New Roman" w:cs="Times New Roman"/>
              </w:rPr>
              <w:t>nalizar las estabilidades relativas de los diferentes estados de oxidación y covalencia.</w:t>
            </w:r>
          </w:p>
        </w:tc>
        <w:tc>
          <w:tcPr>
            <w:tcW w:w="1699" w:type="dxa"/>
          </w:tcPr>
          <w:p w:rsidR="00803D1E" w:rsidRDefault="006D7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preguntas de ítems cerrados</w:t>
            </w:r>
          </w:p>
          <w:p w:rsidR="006D75D9" w:rsidRDefault="006D7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 puntos)</w:t>
            </w:r>
          </w:p>
        </w:tc>
        <w:tc>
          <w:tcPr>
            <w:tcW w:w="1699" w:type="dxa"/>
          </w:tcPr>
          <w:p w:rsidR="00803D1E" w:rsidRDefault="006D7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pregunta de desarrollo.</w:t>
            </w:r>
          </w:p>
          <w:p w:rsidR="006D75D9" w:rsidRDefault="006D7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puntos)</w:t>
            </w:r>
          </w:p>
        </w:tc>
        <w:tc>
          <w:tcPr>
            <w:tcW w:w="1699" w:type="dxa"/>
          </w:tcPr>
          <w:p w:rsidR="00803D1E" w:rsidRDefault="006D7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Estudio de casos</w:t>
            </w:r>
          </w:p>
          <w:p w:rsidR="006D75D9" w:rsidRDefault="006D7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 puntos)</w:t>
            </w:r>
          </w:p>
        </w:tc>
        <w:tc>
          <w:tcPr>
            <w:tcW w:w="1699" w:type="dxa"/>
          </w:tcPr>
          <w:p w:rsidR="00803D1E" w:rsidRDefault="006D75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puntos</w:t>
            </w:r>
          </w:p>
        </w:tc>
      </w:tr>
      <w:tr w:rsidR="006D75D9" w:rsidTr="009229A1">
        <w:tc>
          <w:tcPr>
            <w:tcW w:w="1698" w:type="dxa"/>
          </w:tcPr>
          <w:p w:rsidR="006D75D9" w:rsidRPr="006D75D9" w:rsidRDefault="006D75D9" w:rsidP="009229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75D9">
              <w:rPr>
                <w:rFonts w:ascii="Times New Roman" w:hAnsi="Times New Roman" w:cs="Times New Roman"/>
                <w:b/>
              </w:rPr>
              <w:t>Totales</w:t>
            </w:r>
          </w:p>
        </w:tc>
        <w:tc>
          <w:tcPr>
            <w:tcW w:w="1699" w:type="dxa"/>
          </w:tcPr>
          <w:p w:rsidR="006D75D9" w:rsidRDefault="00AB04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D75D9">
              <w:rPr>
                <w:rFonts w:ascii="Times New Roman" w:hAnsi="Times New Roman" w:cs="Times New Roman"/>
              </w:rPr>
              <w:t>4 puntos</w:t>
            </w:r>
          </w:p>
        </w:tc>
        <w:tc>
          <w:tcPr>
            <w:tcW w:w="1699" w:type="dxa"/>
          </w:tcPr>
          <w:p w:rsidR="006D75D9" w:rsidRDefault="00AB04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puntos</w:t>
            </w:r>
          </w:p>
        </w:tc>
        <w:tc>
          <w:tcPr>
            <w:tcW w:w="1699" w:type="dxa"/>
          </w:tcPr>
          <w:p w:rsidR="006D75D9" w:rsidRDefault="00AB04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puntos</w:t>
            </w:r>
          </w:p>
        </w:tc>
        <w:tc>
          <w:tcPr>
            <w:tcW w:w="1699" w:type="dxa"/>
          </w:tcPr>
          <w:p w:rsidR="006D75D9" w:rsidRDefault="00AB04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puntos</w:t>
            </w:r>
          </w:p>
        </w:tc>
      </w:tr>
    </w:tbl>
    <w:p w:rsidR="00B333FD" w:rsidRDefault="005C376D">
      <w:pPr>
        <w:rPr>
          <w:rFonts w:ascii="Times New Roman" w:hAnsi="Times New Roman" w:cs="Times New Roman"/>
        </w:rPr>
      </w:pPr>
    </w:p>
    <w:p w:rsidR="00AB04AB" w:rsidRDefault="00AB04AB" w:rsidP="00AB04AB">
      <w:pPr>
        <w:spacing w:after="15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es-AR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es-AR"/>
        </w:rPr>
        <w:t>2</w:t>
      </w:r>
      <w:r w:rsidRPr="00AB04AB">
        <w:rPr>
          <w:rFonts w:ascii="Times New Roman" w:eastAsia="Times New Roman" w:hAnsi="Times New Roman" w:cs="Times New Roman"/>
          <w:b/>
          <w:sz w:val="21"/>
          <w:szCs w:val="21"/>
          <w:lang w:eastAsia="es-AR"/>
        </w:rPr>
        <w:t xml:space="preserve">) 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es-AR"/>
        </w:rPr>
        <w:t>Instrumento de Registro o Evaluación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123"/>
        <w:gridCol w:w="3826"/>
        <w:gridCol w:w="2693"/>
      </w:tblGrid>
      <w:tr w:rsidR="00AB04AB" w:rsidTr="00AB04AB">
        <w:tc>
          <w:tcPr>
            <w:tcW w:w="2123" w:type="dxa"/>
          </w:tcPr>
          <w:p w:rsidR="00AB04AB" w:rsidRDefault="00AB04AB" w:rsidP="00533A5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AR"/>
              </w:rPr>
              <w:t>Nivel</w:t>
            </w:r>
          </w:p>
        </w:tc>
        <w:tc>
          <w:tcPr>
            <w:tcW w:w="3826" w:type="dxa"/>
          </w:tcPr>
          <w:p w:rsidR="00AB04AB" w:rsidRDefault="00AB04AB" w:rsidP="00533A5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AR"/>
              </w:rPr>
              <w:t>Descriptores</w:t>
            </w:r>
          </w:p>
        </w:tc>
        <w:tc>
          <w:tcPr>
            <w:tcW w:w="2693" w:type="dxa"/>
          </w:tcPr>
          <w:p w:rsidR="00AB04AB" w:rsidRDefault="00533A56" w:rsidP="00533A5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AR"/>
              </w:rPr>
              <w:t>Alcanzado</w:t>
            </w:r>
          </w:p>
        </w:tc>
      </w:tr>
      <w:tr w:rsidR="00AB04AB" w:rsidTr="00AB04AB">
        <w:tc>
          <w:tcPr>
            <w:tcW w:w="2123" w:type="dxa"/>
          </w:tcPr>
          <w:p w:rsidR="00AB04AB" w:rsidRPr="00533A56" w:rsidRDefault="00AB04AB" w:rsidP="00AB04AB">
            <w:pPr>
              <w:spacing w:after="150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es-AR"/>
              </w:rPr>
            </w:pPr>
            <w:r w:rsidRPr="00533A56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es-AR"/>
              </w:rPr>
              <w:t>Excelente</w:t>
            </w:r>
          </w:p>
        </w:tc>
        <w:tc>
          <w:tcPr>
            <w:tcW w:w="3826" w:type="dxa"/>
          </w:tcPr>
          <w:p w:rsidR="00AB04AB" w:rsidRPr="00533A56" w:rsidRDefault="00533A56" w:rsidP="00533A56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AR"/>
              </w:rPr>
            </w:pPr>
            <w:r w:rsidRPr="00533A56">
              <w:rPr>
                <w:rFonts w:ascii="Times New Roman" w:eastAsia="Times New Roman" w:hAnsi="Times New Roman" w:cs="Times New Roman"/>
                <w:sz w:val="21"/>
                <w:szCs w:val="21"/>
                <w:lang w:eastAsia="es-AR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AR"/>
              </w:rPr>
              <w:t>escribe completamente las características químicas del grupo. Diferencia el comportamiento diferencial del “cabeza de serie”. Analiza completamente las estabilidades relativas de los diversos estados de oxidación y covalencia brindando diferentes ejemplos para cada caso. Aplica adecuadamente los conceptos a los casos de estudio.</w:t>
            </w:r>
          </w:p>
        </w:tc>
        <w:tc>
          <w:tcPr>
            <w:tcW w:w="2693" w:type="dxa"/>
          </w:tcPr>
          <w:p w:rsidR="00AB04AB" w:rsidRDefault="00AB04AB" w:rsidP="00AB04AB">
            <w:pPr>
              <w:spacing w:after="15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AR"/>
              </w:rPr>
            </w:pPr>
          </w:p>
        </w:tc>
      </w:tr>
      <w:tr w:rsidR="00AB04AB" w:rsidTr="00AB04AB">
        <w:tc>
          <w:tcPr>
            <w:tcW w:w="2123" w:type="dxa"/>
          </w:tcPr>
          <w:p w:rsidR="00AB04AB" w:rsidRPr="00533A56" w:rsidRDefault="00AB04AB" w:rsidP="00AB04AB">
            <w:pPr>
              <w:spacing w:after="150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es-AR"/>
              </w:rPr>
            </w:pPr>
            <w:r w:rsidRPr="00533A56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es-AR"/>
              </w:rPr>
              <w:t>Muy bueno</w:t>
            </w:r>
          </w:p>
        </w:tc>
        <w:tc>
          <w:tcPr>
            <w:tcW w:w="3826" w:type="dxa"/>
          </w:tcPr>
          <w:p w:rsidR="00AB04AB" w:rsidRPr="00533A56" w:rsidRDefault="00533A56" w:rsidP="00533A56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AR"/>
              </w:rPr>
            </w:pPr>
            <w:r w:rsidRPr="00533A56">
              <w:rPr>
                <w:rFonts w:ascii="Times New Roman" w:eastAsia="Times New Roman" w:hAnsi="Times New Roman" w:cs="Times New Roman"/>
                <w:sz w:val="21"/>
                <w:szCs w:val="21"/>
                <w:lang w:eastAsia="es-AR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AR"/>
              </w:rPr>
              <w:t xml:space="preserve">escribe bastante bien las características químicas del grupo. Diferencia el comportamiento diferencial del “cabeza de serie”. Analiza adecuadamente las estabilidades relativas de los diversos estados de oxidación y covalencia brindando algún ejemplo. Aplica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AR"/>
              </w:rPr>
              <w:lastRenderedPageBreak/>
              <w:t>adecuadamente los conceptos a los casos de estudio.</w:t>
            </w:r>
          </w:p>
        </w:tc>
        <w:tc>
          <w:tcPr>
            <w:tcW w:w="2693" w:type="dxa"/>
          </w:tcPr>
          <w:p w:rsidR="00AB04AB" w:rsidRDefault="00AB04AB" w:rsidP="00AB04AB">
            <w:pPr>
              <w:spacing w:after="15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AR"/>
              </w:rPr>
            </w:pPr>
          </w:p>
        </w:tc>
      </w:tr>
      <w:tr w:rsidR="00AB04AB" w:rsidTr="00AB04AB">
        <w:tc>
          <w:tcPr>
            <w:tcW w:w="2123" w:type="dxa"/>
          </w:tcPr>
          <w:p w:rsidR="00AB04AB" w:rsidRPr="00533A56" w:rsidRDefault="00AB04AB" w:rsidP="00AB04AB">
            <w:pPr>
              <w:spacing w:after="150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es-AR"/>
              </w:rPr>
            </w:pPr>
            <w:r w:rsidRPr="00533A56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es-AR"/>
              </w:rPr>
              <w:lastRenderedPageBreak/>
              <w:t>Bueno</w:t>
            </w:r>
          </w:p>
        </w:tc>
        <w:tc>
          <w:tcPr>
            <w:tcW w:w="3826" w:type="dxa"/>
          </w:tcPr>
          <w:p w:rsidR="00AB04AB" w:rsidRPr="00533A56" w:rsidRDefault="00533A56" w:rsidP="00533A56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AR"/>
              </w:rPr>
            </w:pPr>
            <w:r w:rsidRPr="00533A56">
              <w:rPr>
                <w:rFonts w:ascii="Times New Roman" w:eastAsia="Times New Roman" w:hAnsi="Times New Roman" w:cs="Times New Roman"/>
                <w:sz w:val="21"/>
                <w:szCs w:val="21"/>
                <w:lang w:eastAsia="es-AR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AR"/>
              </w:rPr>
              <w:t>escribe bien las características químicas del grupo. Diferencia el comportamiento diferencial del “cabeza de serie”. Analiza bien las estabilidades relativas de los diversos estados de oxidación y covalencia brindando pocos ejemplo. Aplica adecuadamente los conceptos a los casos de estudio.</w:t>
            </w:r>
          </w:p>
        </w:tc>
        <w:tc>
          <w:tcPr>
            <w:tcW w:w="2693" w:type="dxa"/>
          </w:tcPr>
          <w:p w:rsidR="00AB04AB" w:rsidRDefault="00AB04AB" w:rsidP="00AB04AB">
            <w:pPr>
              <w:spacing w:after="15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AR"/>
              </w:rPr>
            </w:pPr>
          </w:p>
        </w:tc>
      </w:tr>
      <w:tr w:rsidR="00AB04AB" w:rsidTr="00AB04AB">
        <w:tc>
          <w:tcPr>
            <w:tcW w:w="2123" w:type="dxa"/>
          </w:tcPr>
          <w:p w:rsidR="00AB04AB" w:rsidRPr="00533A56" w:rsidRDefault="00AB04AB" w:rsidP="00AB04AB">
            <w:pPr>
              <w:spacing w:after="150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es-AR"/>
              </w:rPr>
            </w:pPr>
            <w:r w:rsidRPr="00533A56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es-AR"/>
              </w:rPr>
              <w:t>Regular</w:t>
            </w:r>
          </w:p>
        </w:tc>
        <w:tc>
          <w:tcPr>
            <w:tcW w:w="3826" w:type="dxa"/>
          </w:tcPr>
          <w:p w:rsidR="00AB04AB" w:rsidRPr="00533A56" w:rsidRDefault="00533A56" w:rsidP="00B81DD2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AR"/>
              </w:rPr>
            </w:pPr>
            <w:r w:rsidRPr="00533A56">
              <w:rPr>
                <w:rFonts w:ascii="Times New Roman" w:eastAsia="Times New Roman" w:hAnsi="Times New Roman" w:cs="Times New Roman"/>
                <w:sz w:val="21"/>
                <w:szCs w:val="21"/>
                <w:lang w:eastAsia="es-AR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AR"/>
              </w:rPr>
              <w:t xml:space="preserve">escribe algunas las características químicas del grupo. Diferencia el comportamiento diferencial del “cabeza de serie”. Analiza </w:t>
            </w:r>
            <w:r w:rsidR="00B81DD2">
              <w:rPr>
                <w:rFonts w:ascii="Times New Roman" w:eastAsia="Times New Roman" w:hAnsi="Times New Roman" w:cs="Times New Roman"/>
                <w:sz w:val="21"/>
                <w:szCs w:val="21"/>
                <w:lang w:eastAsia="es-AR"/>
              </w:rPr>
              <w:t>algunas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AR"/>
              </w:rPr>
              <w:t xml:space="preserve"> estabilidades relativas de los diversos estados de oxidación y covalencia </w:t>
            </w:r>
            <w:r w:rsidR="00B81DD2">
              <w:rPr>
                <w:rFonts w:ascii="Times New Roman" w:eastAsia="Times New Roman" w:hAnsi="Times New Roman" w:cs="Times New Roman"/>
                <w:sz w:val="21"/>
                <w:szCs w:val="21"/>
                <w:lang w:eastAsia="es-AR"/>
              </w:rPr>
              <w:t>sin dar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AR"/>
              </w:rPr>
              <w:t xml:space="preserve"> ejemplo</w:t>
            </w:r>
            <w:r w:rsidR="00B81DD2">
              <w:rPr>
                <w:rFonts w:ascii="Times New Roman" w:eastAsia="Times New Roman" w:hAnsi="Times New Roman" w:cs="Times New Roman"/>
                <w:sz w:val="21"/>
                <w:szCs w:val="21"/>
                <w:lang w:eastAsia="es-AR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AR"/>
              </w:rPr>
              <w:t>. Aplica adecuadamente los conceptos a los casos de estudio.</w:t>
            </w:r>
          </w:p>
        </w:tc>
        <w:tc>
          <w:tcPr>
            <w:tcW w:w="2693" w:type="dxa"/>
          </w:tcPr>
          <w:p w:rsidR="00AB04AB" w:rsidRDefault="00AB04AB" w:rsidP="00AB04AB">
            <w:pPr>
              <w:spacing w:after="15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AR"/>
              </w:rPr>
            </w:pPr>
          </w:p>
        </w:tc>
      </w:tr>
      <w:tr w:rsidR="00AB04AB" w:rsidTr="00AB04AB">
        <w:tc>
          <w:tcPr>
            <w:tcW w:w="2123" w:type="dxa"/>
          </w:tcPr>
          <w:p w:rsidR="00AB04AB" w:rsidRPr="00533A56" w:rsidRDefault="00AB04AB" w:rsidP="00AB04AB">
            <w:pPr>
              <w:spacing w:after="150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es-AR"/>
              </w:rPr>
            </w:pPr>
            <w:r w:rsidRPr="00533A56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es-AR"/>
              </w:rPr>
              <w:t>Reprobado</w:t>
            </w:r>
          </w:p>
        </w:tc>
        <w:tc>
          <w:tcPr>
            <w:tcW w:w="3826" w:type="dxa"/>
          </w:tcPr>
          <w:p w:rsidR="00AB04AB" w:rsidRPr="00533A56" w:rsidRDefault="00B81DD2" w:rsidP="00B81DD2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es-AR"/>
              </w:rPr>
            </w:pPr>
            <w:r w:rsidRPr="00533A56">
              <w:rPr>
                <w:rFonts w:ascii="Times New Roman" w:eastAsia="Times New Roman" w:hAnsi="Times New Roman" w:cs="Times New Roman"/>
                <w:sz w:val="21"/>
                <w:szCs w:val="21"/>
                <w:lang w:eastAsia="es-AR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AR"/>
              </w:rPr>
              <w:t>escribe pocas las características químicas del grupo. No diferencia el comportamiento diferencial del “cabeza de serie”. Analiza pocas estabilidades relativas de los diversos estados de oxidación y covalencia sin dar ejemplos. No aplica adecuadamente los conceptos a los casos de estudio.</w:t>
            </w:r>
          </w:p>
        </w:tc>
        <w:tc>
          <w:tcPr>
            <w:tcW w:w="2693" w:type="dxa"/>
          </w:tcPr>
          <w:p w:rsidR="00AB04AB" w:rsidRDefault="00AB04AB" w:rsidP="00AB04AB">
            <w:pPr>
              <w:spacing w:after="15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s-AR"/>
              </w:rPr>
            </w:pPr>
          </w:p>
        </w:tc>
      </w:tr>
    </w:tbl>
    <w:p w:rsidR="00AB04AB" w:rsidRPr="00A518F4" w:rsidRDefault="00AB04AB" w:rsidP="00AB04AB">
      <w:pPr>
        <w:spacing w:after="15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es-AR"/>
        </w:rPr>
      </w:pPr>
    </w:p>
    <w:p w:rsidR="002948C0" w:rsidRDefault="002948C0" w:rsidP="002948C0">
      <w:pPr>
        <w:spacing w:after="15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es-AR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es-AR"/>
        </w:rPr>
        <w:t>3</w:t>
      </w:r>
      <w:r w:rsidRPr="00AB04AB">
        <w:rPr>
          <w:rFonts w:ascii="Times New Roman" w:eastAsia="Times New Roman" w:hAnsi="Times New Roman" w:cs="Times New Roman"/>
          <w:b/>
          <w:sz w:val="21"/>
          <w:szCs w:val="21"/>
          <w:lang w:eastAsia="es-AR"/>
        </w:rPr>
        <w:t xml:space="preserve">) 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es-AR"/>
        </w:rPr>
        <w:t>Justificación del desarrollo del instrumento</w:t>
      </w:r>
    </w:p>
    <w:p w:rsidR="00AB04AB" w:rsidRPr="00A518F4" w:rsidRDefault="005C37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Utilicé una rúbrica analítica porque me resultó </w:t>
      </w:r>
      <w:proofErr w:type="spellStart"/>
      <w:proofErr w:type="gramStart"/>
      <w:r>
        <w:rPr>
          <w:rFonts w:ascii="Times New Roman" w:hAnsi="Times New Roman" w:cs="Times New Roman"/>
        </w:rPr>
        <w:t>mas</w:t>
      </w:r>
      <w:proofErr w:type="spellEnd"/>
      <w:proofErr w:type="gramEnd"/>
      <w:r>
        <w:rPr>
          <w:rFonts w:ascii="Times New Roman" w:hAnsi="Times New Roman" w:cs="Times New Roman"/>
        </w:rPr>
        <w:t xml:space="preserve"> sencilla de utilizar y considero que mediante su uso es </w:t>
      </w:r>
      <w:proofErr w:type="spellStart"/>
      <w:r>
        <w:rPr>
          <w:rFonts w:ascii="Times New Roman" w:hAnsi="Times New Roman" w:cs="Times New Roman"/>
        </w:rPr>
        <w:t>mas</w:t>
      </w:r>
      <w:proofErr w:type="spellEnd"/>
      <w:r>
        <w:rPr>
          <w:rFonts w:ascii="Times New Roman" w:hAnsi="Times New Roman" w:cs="Times New Roman"/>
        </w:rPr>
        <w:t xml:space="preserve"> fácil categorizar el nivel alcanzado por los alumnos.</w:t>
      </w:r>
    </w:p>
    <w:sectPr w:rsidR="00AB04AB" w:rsidRPr="00A518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E24A38"/>
    <w:multiLevelType w:val="hybridMultilevel"/>
    <w:tmpl w:val="0DE09040"/>
    <w:lvl w:ilvl="0" w:tplc="B7EA01D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F4"/>
    <w:rsid w:val="002035BB"/>
    <w:rsid w:val="002948C0"/>
    <w:rsid w:val="00533A56"/>
    <w:rsid w:val="005C376D"/>
    <w:rsid w:val="005D49A8"/>
    <w:rsid w:val="0068465A"/>
    <w:rsid w:val="006D75D9"/>
    <w:rsid w:val="007C7EE2"/>
    <w:rsid w:val="00803D1E"/>
    <w:rsid w:val="008214F7"/>
    <w:rsid w:val="009229A1"/>
    <w:rsid w:val="00A518F4"/>
    <w:rsid w:val="00AB04AB"/>
    <w:rsid w:val="00B81DD2"/>
    <w:rsid w:val="00D4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AEB37-1E57-4FB4-8DC7-9012BD2A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518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518F4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A518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5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803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B0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9460">
              <w:marLeft w:val="335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tupce</dc:creator>
  <cp:keywords/>
  <dc:description/>
  <cp:lastModifiedBy>tupce</cp:lastModifiedBy>
  <cp:revision>4</cp:revision>
  <dcterms:created xsi:type="dcterms:W3CDTF">2019-07-30T19:06:00Z</dcterms:created>
  <dcterms:modified xsi:type="dcterms:W3CDTF">2019-08-01T15:22:00Z</dcterms:modified>
</cp:coreProperties>
</file>